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D67F74" w14:textId="277F30FC" w:rsidR="0094472D" w:rsidRDefault="00FB0D59">
      <w:pPr>
        <w:jc w:val="right"/>
        <w:rPr>
          <w:sz w:val="18"/>
          <w:szCs w:val="18"/>
        </w:rPr>
      </w:pPr>
      <w:r>
        <w:rPr>
          <w:sz w:val="18"/>
          <w:szCs w:val="18"/>
        </w:rPr>
        <w:t xml:space="preserve">Copenhagen </w:t>
      </w:r>
      <w:r w:rsidR="00AA1006">
        <w:rPr>
          <w:sz w:val="18"/>
          <w:szCs w:val="18"/>
        </w:rPr>
        <w:t>30 April</w:t>
      </w:r>
      <w:r>
        <w:rPr>
          <w:sz w:val="18"/>
          <w:szCs w:val="18"/>
        </w:rPr>
        <w:t xml:space="preserve"> 202</w:t>
      </w:r>
      <w:r w:rsidR="00AA1006">
        <w:rPr>
          <w:sz w:val="18"/>
          <w:szCs w:val="18"/>
        </w:rPr>
        <w:t>3</w:t>
      </w:r>
    </w:p>
    <w:p w14:paraId="773B59E1" w14:textId="2BDA564A" w:rsidR="0094472D" w:rsidRDefault="00560A09" w:rsidP="00560A09">
      <w:pPr>
        <w:jc w:val="right"/>
      </w:pPr>
      <w:r w:rsidRPr="00560A09">
        <w:rPr>
          <w:sz w:val="18"/>
          <w:szCs w:val="18"/>
        </w:rPr>
        <w:t>WK Doc HS</w:t>
      </w:r>
      <w:r w:rsidR="00E53EC0">
        <w:rPr>
          <w:sz w:val="18"/>
          <w:szCs w:val="18"/>
        </w:rPr>
        <w:t>8</w:t>
      </w:r>
      <w:r w:rsidRPr="00560A09">
        <w:rPr>
          <w:sz w:val="18"/>
          <w:szCs w:val="18"/>
        </w:rPr>
        <w:t xml:space="preserve"> WKREF3 2022 </w:t>
      </w:r>
      <w:r w:rsidR="003210C5">
        <w:rPr>
          <w:sz w:val="18"/>
          <w:szCs w:val="18"/>
        </w:rPr>
        <w:t>–</w:t>
      </w:r>
      <w:r w:rsidRPr="00560A09">
        <w:rPr>
          <w:sz w:val="18"/>
          <w:szCs w:val="18"/>
        </w:rPr>
        <w:t xml:space="preserve"> ver</w:t>
      </w:r>
      <w:r w:rsidR="00AA1006">
        <w:rPr>
          <w:sz w:val="18"/>
          <w:szCs w:val="18"/>
        </w:rPr>
        <w:t>1</w:t>
      </w:r>
    </w:p>
    <w:p w14:paraId="2AEBF765" w14:textId="77777777" w:rsidR="00895764" w:rsidRDefault="00895764">
      <w:pPr>
        <w:jc w:val="center"/>
        <w:rPr>
          <w:b/>
          <w:bCs/>
          <w:sz w:val="32"/>
          <w:szCs w:val="32"/>
        </w:rPr>
      </w:pPr>
    </w:p>
    <w:p w14:paraId="3AF40D17" w14:textId="37599142" w:rsidR="0094472D" w:rsidRDefault="00E53EC0">
      <w:pPr>
        <w:jc w:val="center"/>
      </w:pPr>
      <w:r>
        <w:rPr>
          <w:b/>
          <w:bCs/>
          <w:sz w:val="32"/>
          <w:szCs w:val="32"/>
        </w:rPr>
        <w:t>Trends in sea mammals fish consumption in the NEA Atlantic since 1960.</w:t>
      </w:r>
    </w:p>
    <w:p w14:paraId="1470DAD7" w14:textId="77777777" w:rsidR="00895764" w:rsidRDefault="00895764" w:rsidP="00DC460C">
      <w:pPr>
        <w:jc w:val="center"/>
      </w:pPr>
      <w:bookmarkStart w:id="0" w:name="_Hlk99974436"/>
    </w:p>
    <w:p w14:paraId="7246D4B4" w14:textId="77777777" w:rsidR="00AF09DD" w:rsidRPr="00A82557" w:rsidRDefault="00AF09DD" w:rsidP="00AF09DD">
      <w:pPr>
        <w:jc w:val="center"/>
      </w:pPr>
      <w:r w:rsidRPr="00A82557">
        <w:t>By Henrik Sparholt</w:t>
      </w:r>
      <w:r w:rsidRPr="00A82557">
        <w:rPr>
          <w:vertAlign w:val="superscript"/>
        </w:rPr>
        <w:t>1</w:t>
      </w:r>
      <w:r w:rsidRPr="00A82557">
        <w:t>, Axelle Justine Roxane Cordier</w:t>
      </w:r>
      <w:r w:rsidRPr="00A82557">
        <w:rPr>
          <w:vertAlign w:val="superscript"/>
        </w:rPr>
        <w:t>1</w:t>
      </w:r>
      <w:r w:rsidRPr="00A82557">
        <w:t xml:space="preserve"> and </w:t>
      </w:r>
      <w:proofErr w:type="spellStart"/>
      <w:r w:rsidRPr="00A82557">
        <w:t>Søren</w:t>
      </w:r>
      <w:proofErr w:type="spellEnd"/>
      <w:r w:rsidRPr="00A82557">
        <w:t xml:space="preserve"> </w:t>
      </w:r>
      <w:proofErr w:type="spellStart"/>
      <w:r w:rsidRPr="00A82557">
        <w:t>Lundgaard</w:t>
      </w:r>
      <w:proofErr w:type="spellEnd"/>
      <w:r w:rsidRPr="00A82557">
        <w:t xml:space="preserve"> Olesen</w:t>
      </w:r>
      <w:r w:rsidRPr="00A82557">
        <w:rPr>
          <w:vertAlign w:val="superscript"/>
        </w:rPr>
        <w:t>1</w:t>
      </w:r>
    </w:p>
    <w:p w14:paraId="225AF534" w14:textId="77777777" w:rsidR="00AF09DD" w:rsidRPr="005E19E1" w:rsidRDefault="00AF09DD" w:rsidP="00AF09DD">
      <w:pPr>
        <w:jc w:val="center"/>
        <w:rPr>
          <w:sz w:val="18"/>
          <w:szCs w:val="18"/>
        </w:rPr>
      </w:pPr>
      <w:r>
        <w:rPr>
          <w:sz w:val="18"/>
          <w:szCs w:val="18"/>
        </w:rPr>
        <w:t xml:space="preserve">1) Institute of </w:t>
      </w:r>
      <w:r w:rsidRPr="005E19E1">
        <w:rPr>
          <w:sz w:val="18"/>
          <w:szCs w:val="18"/>
        </w:rPr>
        <w:t>Macroecology, Evolution and Climate</w:t>
      </w:r>
      <w:r>
        <w:rPr>
          <w:sz w:val="18"/>
          <w:szCs w:val="18"/>
        </w:rPr>
        <w:t>,</w:t>
      </w:r>
      <w:r w:rsidRPr="000C7305">
        <w:rPr>
          <w:sz w:val="18"/>
          <w:szCs w:val="18"/>
        </w:rPr>
        <w:t xml:space="preserve"> </w:t>
      </w:r>
      <w:r w:rsidRPr="005E19E1">
        <w:rPr>
          <w:sz w:val="18"/>
          <w:szCs w:val="18"/>
        </w:rPr>
        <w:t xml:space="preserve">Centre of Excellence, University of Copenhagen, </w:t>
      </w:r>
      <w:proofErr w:type="spellStart"/>
      <w:r w:rsidRPr="005E19E1">
        <w:rPr>
          <w:sz w:val="18"/>
          <w:szCs w:val="18"/>
        </w:rPr>
        <w:t>Universitetsparken</w:t>
      </w:r>
      <w:proofErr w:type="spellEnd"/>
      <w:r w:rsidRPr="005E19E1">
        <w:rPr>
          <w:sz w:val="18"/>
          <w:szCs w:val="18"/>
        </w:rPr>
        <w:t xml:space="preserve"> 15</w:t>
      </w:r>
      <w:r>
        <w:rPr>
          <w:sz w:val="18"/>
          <w:szCs w:val="18"/>
        </w:rPr>
        <w:t>,</w:t>
      </w:r>
      <w:r w:rsidRPr="005E19E1">
        <w:rPr>
          <w:sz w:val="18"/>
          <w:szCs w:val="18"/>
        </w:rPr>
        <w:t xml:space="preserve"> B</w:t>
      </w:r>
      <w:r>
        <w:rPr>
          <w:sz w:val="18"/>
          <w:szCs w:val="18"/>
        </w:rPr>
        <w:t>uilding</w:t>
      </w:r>
      <w:r w:rsidRPr="005E19E1">
        <w:rPr>
          <w:sz w:val="18"/>
          <w:szCs w:val="18"/>
        </w:rPr>
        <w:t xml:space="preserve"> 3, 2100 </w:t>
      </w:r>
      <w:r>
        <w:rPr>
          <w:sz w:val="18"/>
          <w:szCs w:val="18"/>
        </w:rPr>
        <w:t>Copenhagen Ø</w:t>
      </w:r>
      <w:r w:rsidRPr="005E19E1">
        <w:rPr>
          <w:sz w:val="18"/>
          <w:szCs w:val="18"/>
        </w:rPr>
        <w:t>, Denmark</w:t>
      </w:r>
      <w:r>
        <w:rPr>
          <w:sz w:val="18"/>
          <w:szCs w:val="18"/>
        </w:rPr>
        <w:t xml:space="preserve">, </w:t>
      </w:r>
    </w:p>
    <w:p w14:paraId="5B58C610" w14:textId="77777777" w:rsidR="00475E13" w:rsidRDefault="00475E13" w:rsidP="00475E13"/>
    <w:p w14:paraId="77B33823" w14:textId="004EA519" w:rsidR="00475E13" w:rsidRPr="005B1785" w:rsidRDefault="00475E13" w:rsidP="00475E13">
      <w:pPr>
        <w:rPr>
          <w:sz w:val="16"/>
          <w:szCs w:val="16"/>
        </w:rPr>
      </w:pPr>
      <w:r w:rsidRPr="005B1785">
        <w:rPr>
          <w:b/>
          <w:bCs/>
          <w:sz w:val="16"/>
          <w:szCs w:val="16"/>
        </w:rPr>
        <w:t>Citation</w:t>
      </w:r>
      <w:r w:rsidRPr="005B1785">
        <w:rPr>
          <w:sz w:val="16"/>
          <w:szCs w:val="16"/>
        </w:rPr>
        <w:t xml:space="preserve">: </w:t>
      </w:r>
      <w:bookmarkStart w:id="1" w:name="_Hlk99974347"/>
      <w:r w:rsidR="00AF09DD" w:rsidRPr="00AF09DD">
        <w:rPr>
          <w:sz w:val="16"/>
          <w:szCs w:val="16"/>
        </w:rPr>
        <w:t xml:space="preserve">Sparholt, H. Cordier, A. J. R., and Olesen, S. L.  </w:t>
      </w:r>
      <w:r w:rsidRPr="005B1785">
        <w:rPr>
          <w:sz w:val="16"/>
          <w:szCs w:val="16"/>
        </w:rPr>
        <w:t xml:space="preserve">2022. </w:t>
      </w:r>
      <w:r w:rsidR="00E53EC0" w:rsidRPr="00E53EC0">
        <w:rPr>
          <w:sz w:val="16"/>
          <w:szCs w:val="16"/>
        </w:rPr>
        <w:t>Trends in sea mammals fish consumption in the NEA Atlantic since 1960.</w:t>
      </w:r>
      <w:r w:rsidRPr="005B1785">
        <w:rPr>
          <w:sz w:val="16"/>
          <w:szCs w:val="16"/>
        </w:rPr>
        <w:t xml:space="preserve"> WK Doc HS</w:t>
      </w:r>
      <w:r w:rsidR="00E53EC0">
        <w:rPr>
          <w:sz w:val="16"/>
          <w:szCs w:val="16"/>
        </w:rPr>
        <w:t>8</w:t>
      </w:r>
      <w:r w:rsidRPr="005B1785">
        <w:rPr>
          <w:sz w:val="16"/>
          <w:szCs w:val="16"/>
        </w:rPr>
        <w:t xml:space="preserve"> WKREF3 2022, ICES working group document. </w:t>
      </w:r>
      <w:bookmarkEnd w:id="1"/>
    </w:p>
    <w:bookmarkEnd w:id="0"/>
    <w:p w14:paraId="63BC3E2E" w14:textId="77777777" w:rsidR="0025659F" w:rsidRDefault="0025659F">
      <w:pPr>
        <w:rPr>
          <w:b/>
          <w:bCs/>
        </w:rPr>
      </w:pPr>
    </w:p>
    <w:p w14:paraId="63FB904E" w14:textId="70843DB0" w:rsidR="00584D22" w:rsidRPr="00D54080" w:rsidRDefault="00D54080">
      <w:pPr>
        <w:rPr>
          <w:b/>
          <w:bCs/>
        </w:rPr>
      </w:pPr>
      <w:r w:rsidRPr="00D54080">
        <w:rPr>
          <w:b/>
          <w:bCs/>
        </w:rPr>
        <w:t>Introduction</w:t>
      </w:r>
    </w:p>
    <w:p w14:paraId="5E916437" w14:textId="7108EF79" w:rsidR="0074766D" w:rsidRDefault="00D5749A">
      <w:r>
        <w:t xml:space="preserve">Sea mammals are important elements in the NEA Atlantic marine ecosystem. They predate on commercial fish species and are competing for the same food resource. It is therefore important for fisheries management to </w:t>
      </w:r>
      <w:r w:rsidR="006A1731">
        <w:t xml:space="preserve">take </w:t>
      </w:r>
      <w:r>
        <w:t xml:space="preserve">account of this when deciding on the harvest strategy of the commercial fish stocks. In the present study we examine the scientific literature </w:t>
      </w:r>
      <w:r w:rsidR="00737B28">
        <w:t>t</w:t>
      </w:r>
      <w:r w:rsidR="006A1731">
        <w:t>o</w:t>
      </w:r>
      <w:r w:rsidR="00737B28">
        <w:t xml:space="preserve"> find out the level and the trend in consumption by sea mammals of commercial fish species. If there is an increasing trend</w:t>
      </w:r>
      <w:r w:rsidR="00036061">
        <w:t xml:space="preserve"> in sea mammal biomass</w:t>
      </w:r>
      <w:r w:rsidR="002A4DC0">
        <w:t>,</w:t>
      </w:r>
      <w:r w:rsidR="00737B28">
        <w:t xml:space="preserve"> then productions models for the commercial fish stocks should take th</w:t>
      </w:r>
      <w:r w:rsidR="00036061">
        <w:t>is</w:t>
      </w:r>
      <w:r w:rsidR="00737B28">
        <w:t xml:space="preserve"> into account and </w:t>
      </w:r>
      <w:r w:rsidR="00036061">
        <w:t>it</w:t>
      </w:r>
      <w:r w:rsidR="006A1731">
        <w:t xml:space="preserve"> </w:t>
      </w:r>
      <w:r w:rsidR="00737B28">
        <w:t xml:space="preserve">will reduce the sustainable yield </w:t>
      </w:r>
      <w:r w:rsidR="00036061">
        <w:t xml:space="preserve">of fish </w:t>
      </w:r>
      <w:r w:rsidR="00737B28">
        <w:t xml:space="preserve">that can be harvested. </w:t>
      </w:r>
    </w:p>
    <w:p w14:paraId="4DC260A5" w14:textId="77777777" w:rsidR="00D5749A" w:rsidRDefault="00D5749A"/>
    <w:p w14:paraId="34BAAF80" w14:textId="49431BBB" w:rsidR="00D54080" w:rsidRPr="00D54080" w:rsidRDefault="00D54080">
      <w:pPr>
        <w:rPr>
          <w:b/>
          <w:bCs/>
        </w:rPr>
      </w:pPr>
      <w:r w:rsidRPr="00D54080">
        <w:rPr>
          <w:b/>
          <w:bCs/>
        </w:rPr>
        <w:t>Material and methods</w:t>
      </w:r>
    </w:p>
    <w:p w14:paraId="64FF992D" w14:textId="3D5F9840" w:rsidR="00D67AFB" w:rsidRDefault="00037507" w:rsidP="00D67AFB">
      <w:r w:rsidRPr="006A1731">
        <w:t xml:space="preserve">We went through the peer reviewed scientific literature and the science literature from NAMMCO ( </w:t>
      </w:r>
      <w:hyperlink r:id="rId6" w:history="1">
        <w:r w:rsidR="006A1731" w:rsidRPr="00020C02">
          <w:rPr>
            <w:rStyle w:val="Hyperlink"/>
          </w:rPr>
          <w:t>www.nammco.no</w:t>
        </w:r>
      </w:hyperlink>
      <w:r w:rsidRPr="006A1731">
        <w:t>)</w:t>
      </w:r>
      <w:r w:rsidR="006A1731">
        <w:t>, the IWC (www.iwc.int), ICES (</w:t>
      </w:r>
      <w:hyperlink r:id="rId7" w:history="1">
        <w:r w:rsidR="006A1731" w:rsidRPr="00020C02">
          <w:rPr>
            <w:rStyle w:val="Hyperlink"/>
          </w:rPr>
          <w:t>www.ICES.dk</w:t>
        </w:r>
      </w:hyperlink>
      <w:r w:rsidR="006A1731">
        <w:t>)</w:t>
      </w:r>
      <w:r w:rsidR="00036061">
        <w:t>,</w:t>
      </w:r>
      <w:r w:rsidR="006A1731">
        <w:t xml:space="preserve"> and peer revie</w:t>
      </w:r>
      <w:r w:rsidR="00036061">
        <w:t>we</w:t>
      </w:r>
      <w:r w:rsidR="006A1731">
        <w:t>d scientific papers</w:t>
      </w:r>
      <w:r w:rsidR="00036061">
        <w:t xml:space="preserve"> in general</w:t>
      </w:r>
      <w:r w:rsidR="006A1731">
        <w:t xml:space="preserve">. </w:t>
      </w:r>
    </w:p>
    <w:p w14:paraId="011C18F6" w14:textId="77777777" w:rsidR="00C84BC8" w:rsidRDefault="001971DD" w:rsidP="00C84BC8">
      <w:proofErr w:type="spellStart"/>
      <w:r w:rsidRPr="001971DD">
        <w:t>Skern-Mauritzen</w:t>
      </w:r>
      <w:proofErr w:type="spellEnd"/>
      <w:r>
        <w:t xml:space="preserve"> </w:t>
      </w:r>
      <w:r w:rsidRPr="001971DD">
        <w:rPr>
          <w:i/>
          <w:iCs/>
        </w:rPr>
        <w:t>et al.</w:t>
      </w:r>
      <w:r>
        <w:t xml:space="preserve"> (2022) gives a very comprehensive and up to date account of the present m</w:t>
      </w:r>
      <w:r w:rsidRPr="001971DD">
        <w:t xml:space="preserve">arine mammal </w:t>
      </w:r>
      <w:r>
        <w:t xml:space="preserve">abundance, </w:t>
      </w:r>
      <w:r w:rsidRPr="001971DD">
        <w:t>consumption and fish removals in the Nordic and Barents Seas</w:t>
      </w:r>
      <w:r>
        <w:t>. The areas considered are shown in Figure 1.</w:t>
      </w:r>
    </w:p>
    <w:p w14:paraId="2912F154" w14:textId="0413EC34" w:rsidR="00C84BC8" w:rsidRPr="001971DD" w:rsidRDefault="00C84BC8" w:rsidP="00C84BC8">
      <w:r w:rsidRPr="001971DD">
        <w:t xml:space="preserve">Table 1 gives </w:t>
      </w:r>
      <w:r>
        <w:t xml:space="preserve">abundance by species by area. Harp and hooded seals are the most abundant seals. Dolphins, pilot whales, minke whales and fin whales are the most important whales. </w:t>
      </w:r>
    </w:p>
    <w:p w14:paraId="56C0EC92" w14:textId="764F7A47" w:rsidR="00C84BC8" w:rsidRPr="00392195" w:rsidRDefault="00C84BC8" w:rsidP="00C84BC8">
      <w:r w:rsidRPr="00392195">
        <w:t xml:space="preserve">The diet composition of </w:t>
      </w:r>
      <w:r>
        <w:t>by mammal species is give</w:t>
      </w:r>
      <w:r w:rsidR="007F7CDC">
        <w:t>n</w:t>
      </w:r>
      <w:r>
        <w:t xml:space="preserve"> in Table 2. It is obvious that fish and cephalopods constitute a large part of the diet and thus potentially impact the commercial fishery potentials. </w:t>
      </w:r>
    </w:p>
    <w:p w14:paraId="2F12A202" w14:textId="42407AB3" w:rsidR="001971DD" w:rsidRDefault="001971DD" w:rsidP="00D67AFB"/>
    <w:tbl>
      <w:tblPr>
        <w:tblStyle w:val="TableGrid"/>
        <w:tblW w:w="0" w:type="auto"/>
        <w:tblLook w:val="04A0" w:firstRow="1" w:lastRow="0" w:firstColumn="1" w:lastColumn="0" w:noHBand="0" w:noVBand="1"/>
      </w:tblPr>
      <w:tblGrid>
        <w:gridCol w:w="9628"/>
      </w:tblGrid>
      <w:tr w:rsidR="001971DD" w14:paraId="0DC9B094" w14:textId="77777777" w:rsidTr="001971DD">
        <w:tc>
          <w:tcPr>
            <w:tcW w:w="9628" w:type="dxa"/>
          </w:tcPr>
          <w:p w14:paraId="1991E9F9" w14:textId="615613E9" w:rsidR="001971DD" w:rsidRDefault="001971DD" w:rsidP="00D67AFB">
            <w:r>
              <w:rPr>
                <w:noProof/>
              </w:rPr>
              <w:lastRenderedPageBreak/>
              <w:drawing>
                <wp:inline distT="0" distB="0" distL="0" distR="0" wp14:anchorId="3E46C3FC" wp14:editId="638D6C0B">
                  <wp:extent cx="4751070" cy="3448692"/>
                  <wp:effectExtent l="0" t="0" r="0" b="0"/>
                  <wp:docPr id="14" name="Picture 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10;&#10;Description automatically generated"/>
                          <pic:cNvPicPr/>
                        </pic:nvPicPr>
                        <pic:blipFill>
                          <a:blip r:embed="rId8"/>
                          <a:stretch>
                            <a:fillRect/>
                          </a:stretch>
                        </pic:blipFill>
                        <pic:spPr>
                          <a:xfrm>
                            <a:off x="0" y="0"/>
                            <a:ext cx="4753357" cy="3450352"/>
                          </a:xfrm>
                          <a:prstGeom prst="rect">
                            <a:avLst/>
                          </a:prstGeom>
                        </pic:spPr>
                      </pic:pic>
                    </a:graphicData>
                  </a:graphic>
                </wp:inline>
              </w:drawing>
            </w:r>
          </w:p>
        </w:tc>
      </w:tr>
      <w:tr w:rsidR="001971DD" w14:paraId="3041D460" w14:textId="77777777" w:rsidTr="001971DD">
        <w:tc>
          <w:tcPr>
            <w:tcW w:w="9628" w:type="dxa"/>
          </w:tcPr>
          <w:p w14:paraId="0D87DD4F" w14:textId="7FC8EE28" w:rsidR="001971DD" w:rsidRDefault="001971DD" w:rsidP="00D67AFB">
            <w:r>
              <w:t xml:space="preserve">Figure 1. </w:t>
            </w:r>
            <w:r w:rsidRPr="001971DD">
              <w:t xml:space="preserve">Map of </w:t>
            </w:r>
            <w:r w:rsidR="00FE4479">
              <w:t>the Northeast Atlantic</w:t>
            </w:r>
            <w:r w:rsidRPr="001971DD">
              <w:t>. Blue polygons indicate the ICE, GN, and BS regions. The red lines indicate fisheries statistics areas for reported fisheries</w:t>
            </w:r>
            <w:r>
              <w:t xml:space="preserve"> catches. From </w:t>
            </w:r>
            <w:proofErr w:type="spellStart"/>
            <w:r w:rsidRPr="001971DD">
              <w:t>Skern-Mauritzen</w:t>
            </w:r>
            <w:proofErr w:type="spellEnd"/>
            <w:r>
              <w:t xml:space="preserve"> </w:t>
            </w:r>
            <w:r w:rsidRPr="001971DD">
              <w:rPr>
                <w:i/>
                <w:iCs/>
              </w:rPr>
              <w:t>et al.</w:t>
            </w:r>
            <w:r>
              <w:t xml:space="preserve"> (2022)</w:t>
            </w:r>
            <w:r>
              <w:t>.</w:t>
            </w:r>
          </w:p>
        </w:tc>
      </w:tr>
    </w:tbl>
    <w:p w14:paraId="752AC4FE" w14:textId="77777777" w:rsidR="002E0683" w:rsidRDefault="002E0683" w:rsidP="00D67AFB">
      <w:pPr>
        <w:rPr>
          <w:b/>
          <w:bCs/>
        </w:rPr>
      </w:pPr>
    </w:p>
    <w:p w14:paraId="3F61033D" w14:textId="77777777" w:rsidR="009151CA" w:rsidRDefault="009151CA" w:rsidP="00D67AFB">
      <w:pPr>
        <w:rPr>
          <w:b/>
          <w:bCs/>
        </w:rPr>
      </w:pPr>
    </w:p>
    <w:p w14:paraId="5E98CAF6" w14:textId="77777777" w:rsidR="002E0683" w:rsidRDefault="002E0683" w:rsidP="00D67AFB">
      <w:pPr>
        <w:rPr>
          <w:b/>
          <w:bCs/>
        </w:rPr>
      </w:pPr>
    </w:p>
    <w:tbl>
      <w:tblPr>
        <w:tblStyle w:val="TableGrid"/>
        <w:tblW w:w="0" w:type="auto"/>
        <w:tblLook w:val="04A0" w:firstRow="1" w:lastRow="0" w:firstColumn="1" w:lastColumn="0" w:noHBand="0" w:noVBand="1"/>
      </w:tblPr>
      <w:tblGrid>
        <w:gridCol w:w="9628"/>
      </w:tblGrid>
      <w:tr w:rsidR="00FE4479" w14:paraId="254BEE84" w14:textId="77777777" w:rsidTr="00FE4479">
        <w:tc>
          <w:tcPr>
            <w:tcW w:w="9628" w:type="dxa"/>
          </w:tcPr>
          <w:p w14:paraId="023423BE" w14:textId="0F4D9321" w:rsidR="00FE4479" w:rsidRDefault="00FE4479" w:rsidP="00D67AFB">
            <w:pPr>
              <w:rPr>
                <w:b/>
                <w:bCs/>
              </w:rPr>
            </w:pPr>
            <w:r>
              <w:rPr>
                <w:b/>
                <w:bCs/>
              </w:rPr>
              <w:t xml:space="preserve">Table 1. </w:t>
            </w:r>
            <w:r w:rsidRPr="00FE4479">
              <w:t>Abundances and C.V. for marine mammal species included in consumption estimates in the ICE, GN, and BS.</w:t>
            </w:r>
            <w:r>
              <w:t xml:space="preserve"> </w:t>
            </w:r>
            <w:r w:rsidRPr="00FE4479">
              <w:t xml:space="preserve">From </w:t>
            </w:r>
            <w:proofErr w:type="spellStart"/>
            <w:r w:rsidRPr="00FE4479">
              <w:t>Skern-Mauritzen</w:t>
            </w:r>
            <w:proofErr w:type="spellEnd"/>
            <w:r w:rsidRPr="00FE4479">
              <w:t xml:space="preserve"> </w:t>
            </w:r>
            <w:r w:rsidRPr="007F7CDC">
              <w:rPr>
                <w:i/>
                <w:iCs/>
              </w:rPr>
              <w:t>et al.</w:t>
            </w:r>
            <w:r w:rsidRPr="00FE4479">
              <w:t xml:space="preserve"> (2022).</w:t>
            </w:r>
          </w:p>
        </w:tc>
      </w:tr>
      <w:tr w:rsidR="00FE4479" w14:paraId="344E914E" w14:textId="77777777" w:rsidTr="00FE4479">
        <w:tc>
          <w:tcPr>
            <w:tcW w:w="9628" w:type="dxa"/>
          </w:tcPr>
          <w:p w14:paraId="6D0A0429" w14:textId="2688DBED" w:rsidR="00FE4479" w:rsidRDefault="00FE4479" w:rsidP="00D67AFB">
            <w:pPr>
              <w:rPr>
                <w:b/>
                <w:bCs/>
              </w:rPr>
            </w:pPr>
            <w:r w:rsidRPr="002E0683">
              <w:rPr>
                <w:b/>
                <w:bCs/>
                <w:noProof/>
              </w:rPr>
              <w:drawing>
                <wp:inline distT="0" distB="0" distL="0" distR="0" wp14:anchorId="6B69C765" wp14:editId="541365A7">
                  <wp:extent cx="6120130" cy="2849880"/>
                  <wp:effectExtent l="0" t="0" r="0" b="7620"/>
                  <wp:docPr id="1907643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130" cy="2849880"/>
                          </a:xfrm>
                          <a:prstGeom prst="rect">
                            <a:avLst/>
                          </a:prstGeom>
                          <a:noFill/>
                          <a:ln>
                            <a:noFill/>
                          </a:ln>
                        </pic:spPr>
                      </pic:pic>
                    </a:graphicData>
                  </a:graphic>
                </wp:inline>
              </w:drawing>
            </w:r>
          </w:p>
        </w:tc>
      </w:tr>
      <w:tr w:rsidR="00392195" w14:paraId="7535ECAE" w14:textId="77777777" w:rsidTr="00392195">
        <w:tc>
          <w:tcPr>
            <w:tcW w:w="9628" w:type="dxa"/>
          </w:tcPr>
          <w:p w14:paraId="37AFFAD1" w14:textId="5B0C5510" w:rsidR="00392195" w:rsidRDefault="00392195" w:rsidP="00D67AFB">
            <w:pPr>
              <w:rPr>
                <w:b/>
                <w:bCs/>
              </w:rPr>
            </w:pPr>
            <w:r>
              <w:rPr>
                <w:b/>
                <w:bCs/>
              </w:rPr>
              <w:lastRenderedPageBreak/>
              <w:t>Table 2</w:t>
            </w:r>
            <w:r w:rsidRPr="00392195">
              <w:t>. Diets (prey species/categories along the X-axis) of marine mammal species used in estimation of prey consumption. Each horizontal line shows one observed diet of the taxon. Dot sizes reflect proportional use (range 0–1).</w:t>
            </w:r>
            <w:r w:rsidR="007F7CDC">
              <w:t xml:space="preserve"> </w:t>
            </w:r>
            <w:r w:rsidR="007F7CDC" w:rsidRPr="00FE4479">
              <w:t xml:space="preserve">From </w:t>
            </w:r>
            <w:proofErr w:type="spellStart"/>
            <w:r w:rsidR="007F7CDC" w:rsidRPr="00FE4479">
              <w:t>Skern-Mauritzen</w:t>
            </w:r>
            <w:proofErr w:type="spellEnd"/>
            <w:r w:rsidR="007F7CDC" w:rsidRPr="00FE4479">
              <w:t xml:space="preserve"> </w:t>
            </w:r>
            <w:r w:rsidR="007F7CDC" w:rsidRPr="007F7CDC">
              <w:rPr>
                <w:i/>
                <w:iCs/>
              </w:rPr>
              <w:t>et al.</w:t>
            </w:r>
            <w:r w:rsidR="007F7CDC" w:rsidRPr="00FE4479">
              <w:t xml:space="preserve"> (2022).</w:t>
            </w:r>
          </w:p>
        </w:tc>
      </w:tr>
      <w:tr w:rsidR="00392195" w14:paraId="2C1830D8" w14:textId="77777777" w:rsidTr="00392195">
        <w:tc>
          <w:tcPr>
            <w:tcW w:w="9628" w:type="dxa"/>
          </w:tcPr>
          <w:p w14:paraId="30C5B75D" w14:textId="0AD6705A" w:rsidR="00392195" w:rsidRDefault="00392195" w:rsidP="00D67AFB">
            <w:pPr>
              <w:rPr>
                <w:b/>
                <w:bCs/>
              </w:rPr>
            </w:pPr>
            <w:r>
              <w:rPr>
                <w:noProof/>
              </w:rPr>
              <w:drawing>
                <wp:inline distT="0" distB="0" distL="0" distR="0" wp14:anchorId="5FA0E903" wp14:editId="3B17FA65">
                  <wp:extent cx="6120130" cy="4406265"/>
                  <wp:effectExtent l="0" t="0" r="0" b="0"/>
                  <wp:docPr id="1" name="Picture 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10;&#10;Description automatically generated"/>
                          <pic:cNvPicPr/>
                        </pic:nvPicPr>
                        <pic:blipFill>
                          <a:blip r:embed="rId10"/>
                          <a:stretch>
                            <a:fillRect/>
                          </a:stretch>
                        </pic:blipFill>
                        <pic:spPr>
                          <a:xfrm>
                            <a:off x="0" y="0"/>
                            <a:ext cx="6120130" cy="4406265"/>
                          </a:xfrm>
                          <a:prstGeom prst="rect">
                            <a:avLst/>
                          </a:prstGeom>
                        </pic:spPr>
                      </pic:pic>
                    </a:graphicData>
                  </a:graphic>
                </wp:inline>
              </w:drawing>
            </w:r>
          </w:p>
        </w:tc>
      </w:tr>
    </w:tbl>
    <w:p w14:paraId="4DED9E4C" w14:textId="77777777" w:rsidR="00392195" w:rsidRDefault="00392195" w:rsidP="00D67AFB">
      <w:pPr>
        <w:rPr>
          <w:b/>
          <w:bCs/>
        </w:rPr>
      </w:pPr>
    </w:p>
    <w:p w14:paraId="40B2F7E1" w14:textId="758F024F" w:rsidR="00F64B97" w:rsidRPr="00474DB3" w:rsidRDefault="009151CA" w:rsidP="00D67AFB">
      <w:r>
        <w:t xml:space="preserve">Marine mammals in the ICE, GN, and BS consume 13.4 million tonnes of prey </w:t>
      </w:r>
      <w:r w:rsidR="00145963">
        <w:t xml:space="preserve">per </w:t>
      </w:r>
      <w:r>
        <w:t>year.</w:t>
      </w:r>
      <w:r w:rsidR="000D1932">
        <w:t xml:space="preserve"> It is especially harp seals, pilot whales, minke whales, fin whales and humpback whales that contribute to the total </w:t>
      </w:r>
      <w:r w:rsidR="000D1932">
        <w:t>c</w:t>
      </w:r>
      <w:r w:rsidR="000D1932">
        <w:t>onsumption</w:t>
      </w:r>
      <w:r w:rsidR="000D1932">
        <w:t xml:space="preserve">.  </w:t>
      </w:r>
      <w:r>
        <w:t>About half of this is fish</w:t>
      </w:r>
      <w:r w:rsidR="000D1932">
        <w:t xml:space="preserve"> species,</w:t>
      </w:r>
      <w:r>
        <w:t xml:space="preserve"> that </w:t>
      </w:r>
      <w:r w:rsidR="000D1932">
        <w:t>are</w:t>
      </w:r>
      <w:r w:rsidR="000D1932">
        <w:t xml:space="preserve"> </w:t>
      </w:r>
      <w:r>
        <w:t>also commercial</w:t>
      </w:r>
      <w:r w:rsidR="000D1932">
        <w:t>ly</w:t>
      </w:r>
      <w:r>
        <w:t xml:space="preserve"> harvested. Fisheries removed 4.16 million tonnes </w:t>
      </w:r>
      <w:r w:rsidR="00145963">
        <w:t xml:space="preserve">per </w:t>
      </w:r>
      <w:r>
        <w:t>year. Obviously, changes in marine mammal abundance could influence the fish production of the ecosystem that is available to the commercial fishery</w:t>
      </w:r>
      <w:r w:rsidR="00474DB3">
        <w:t xml:space="preserve">. </w:t>
      </w:r>
    </w:p>
    <w:p w14:paraId="1930A9ED" w14:textId="77777777" w:rsidR="00F64B97" w:rsidRDefault="00F64B97" w:rsidP="00D67AFB">
      <w:pPr>
        <w:rPr>
          <w:b/>
          <w:bCs/>
        </w:rPr>
      </w:pPr>
    </w:p>
    <w:p w14:paraId="3CA45161" w14:textId="76EEFABA" w:rsidR="00D67AFB" w:rsidRDefault="00D67AFB" w:rsidP="00D67AFB">
      <w:pPr>
        <w:rPr>
          <w:b/>
          <w:bCs/>
        </w:rPr>
      </w:pPr>
    </w:p>
    <w:p w14:paraId="06D2BDA6" w14:textId="77777777" w:rsidR="00D67AFB" w:rsidRDefault="00D67AFB" w:rsidP="00D67AFB">
      <w:pPr>
        <w:rPr>
          <w:b/>
          <w:bCs/>
        </w:rPr>
      </w:pPr>
    </w:p>
    <w:p w14:paraId="5DC240C0" w14:textId="21EDDA85" w:rsidR="00D67AFB" w:rsidRDefault="00D67AFB" w:rsidP="00D67AFB">
      <w:pPr>
        <w:rPr>
          <w:b/>
          <w:bCs/>
        </w:rPr>
      </w:pPr>
    </w:p>
    <w:p w14:paraId="003AEF7A" w14:textId="77777777" w:rsidR="00D67AFB" w:rsidRDefault="00D67AFB" w:rsidP="00D67AFB">
      <w:pPr>
        <w:rPr>
          <w:b/>
          <w:bCs/>
        </w:rPr>
      </w:pPr>
    </w:p>
    <w:p w14:paraId="2E8BB2F8" w14:textId="75E7A438" w:rsidR="00D54080" w:rsidRDefault="00D54080">
      <w:pPr>
        <w:rPr>
          <w:b/>
          <w:bCs/>
        </w:rPr>
      </w:pPr>
    </w:p>
    <w:p w14:paraId="41D1D620" w14:textId="7A83888F" w:rsidR="00324655" w:rsidRDefault="00324655">
      <w:pPr>
        <w:rPr>
          <w:b/>
          <w:bCs/>
        </w:rPr>
      </w:pPr>
    </w:p>
    <w:tbl>
      <w:tblPr>
        <w:tblStyle w:val="TableGrid"/>
        <w:tblW w:w="0" w:type="auto"/>
        <w:tblLook w:val="04A0" w:firstRow="1" w:lastRow="0" w:firstColumn="1" w:lastColumn="0" w:noHBand="0" w:noVBand="1"/>
      </w:tblPr>
      <w:tblGrid>
        <w:gridCol w:w="9628"/>
      </w:tblGrid>
      <w:tr w:rsidR="00D67AFB" w14:paraId="3FDF2227" w14:textId="77777777" w:rsidTr="00D72ABE">
        <w:tc>
          <w:tcPr>
            <w:tcW w:w="9628" w:type="dxa"/>
          </w:tcPr>
          <w:p w14:paraId="590C171A" w14:textId="77777777" w:rsidR="00D67AFB" w:rsidRDefault="00D67AFB" w:rsidP="00D72ABE">
            <w:pPr>
              <w:rPr>
                <w:b/>
                <w:bCs/>
              </w:rPr>
            </w:pPr>
          </w:p>
        </w:tc>
      </w:tr>
      <w:tr w:rsidR="00D67AFB" w14:paraId="76C083B5" w14:textId="77777777" w:rsidTr="00D72ABE">
        <w:tc>
          <w:tcPr>
            <w:tcW w:w="9628" w:type="dxa"/>
          </w:tcPr>
          <w:p w14:paraId="6E2E069C" w14:textId="77777777" w:rsidR="00D67AFB" w:rsidRDefault="00D67AFB" w:rsidP="00D72ABE">
            <w:pPr>
              <w:rPr>
                <w:b/>
                <w:bCs/>
              </w:rPr>
            </w:pPr>
            <w:r w:rsidRPr="00BA12F2">
              <w:rPr>
                <w:b/>
                <w:bCs/>
                <w:noProof/>
              </w:rPr>
              <w:drawing>
                <wp:inline distT="0" distB="0" distL="0" distR="0" wp14:anchorId="1FD5C843" wp14:editId="67708249">
                  <wp:extent cx="6115050" cy="31623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15050" cy="3162300"/>
                          </a:xfrm>
                          <a:prstGeom prst="rect">
                            <a:avLst/>
                          </a:prstGeom>
                          <a:noFill/>
                          <a:ln>
                            <a:noFill/>
                          </a:ln>
                        </pic:spPr>
                      </pic:pic>
                    </a:graphicData>
                  </a:graphic>
                </wp:inline>
              </w:drawing>
            </w:r>
          </w:p>
        </w:tc>
      </w:tr>
      <w:tr w:rsidR="00D67AFB" w14:paraId="06AA38DC" w14:textId="77777777" w:rsidTr="00D72ABE">
        <w:tc>
          <w:tcPr>
            <w:tcW w:w="9628" w:type="dxa"/>
          </w:tcPr>
          <w:p w14:paraId="6121AD43" w14:textId="2A992AB0" w:rsidR="00D67AFB" w:rsidRDefault="00D67AFB" w:rsidP="00D72ABE">
            <w:pPr>
              <w:rPr>
                <w:b/>
                <w:bCs/>
                <w:noProof/>
              </w:rPr>
            </w:pPr>
          </w:p>
          <w:p w14:paraId="0FF56AE1" w14:textId="77777777" w:rsidR="00D67AFB" w:rsidRDefault="00D67AFB" w:rsidP="00D72ABE">
            <w:pPr>
              <w:rPr>
                <w:b/>
                <w:bCs/>
                <w:noProof/>
              </w:rPr>
            </w:pPr>
          </w:p>
          <w:p w14:paraId="5289AC77" w14:textId="31F1FC2A" w:rsidR="00D67AFB" w:rsidRPr="00BA12F2" w:rsidRDefault="00D67AFB" w:rsidP="00D72ABE">
            <w:pPr>
              <w:rPr>
                <w:b/>
                <w:bCs/>
                <w:noProof/>
              </w:rPr>
            </w:pPr>
            <w:r>
              <w:rPr>
                <w:noProof/>
              </w:rPr>
              <w:drawing>
                <wp:inline distT="0" distB="0" distL="0" distR="0" wp14:anchorId="2B63AFE6" wp14:editId="2A5FDFD3">
                  <wp:extent cx="5524500" cy="3255202"/>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35775" cy="3261845"/>
                          </a:xfrm>
                          <a:prstGeom prst="rect">
                            <a:avLst/>
                          </a:prstGeom>
                        </pic:spPr>
                      </pic:pic>
                    </a:graphicData>
                  </a:graphic>
                </wp:inline>
              </w:drawing>
            </w:r>
          </w:p>
        </w:tc>
      </w:tr>
      <w:tr w:rsidR="00D67AFB" w14:paraId="7246C3E3" w14:textId="77777777" w:rsidTr="00D72ABE">
        <w:tc>
          <w:tcPr>
            <w:tcW w:w="9628" w:type="dxa"/>
          </w:tcPr>
          <w:p w14:paraId="4B540B6A" w14:textId="34CD001A" w:rsidR="00D67AFB" w:rsidRDefault="00474DB3" w:rsidP="00474DB3">
            <w:pPr>
              <w:rPr>
                <w:b/>
                <w:bCs/>
              </w:rPr>
            </w:pPr>
            <w:r>
              <w:rPr>
                <w:b/>
                <w:bCs/>
                <w:noProof/>
              </w:rPr>
              <w:t xml:space="preserve">Figure 2. </w:t>
            </w:r>
            <w:r w:rsidRPr="00474DB3">
              <w:rPr>
                <w:noProof/>
              </w:rPr>
              <w:t>Estimated mean annual consumption (in 1000 tonnes) by (a) marine mammal species and (b) taxonomic groups in the ICE, GN, and BS</w:t>
            </w:r>
            <w:r w:rsidRPr="00474DB3">
              <w:rPr>
                <w:noProof/>
              </w:rPr>
              <w:t xml:space="preserve"> </w:t>
            </w:r>
            <w:r w:rsidRPr="00474DB3">
              <w:rPr>
                <w:noProof/>
              </w:rPr>
              <w:t>regions. Error bars indicate 95% CI. Note that mean and upper CI for fin whales, and upper CI for harp seals and pilot whales extends beyond the scale</w:t>
            </w:r>
            <w:r w:rsidRPr="00474DB3">
              <w:rPr>
                <w:noProof/>
              </w:rPr>
              <w:t xml:space="preserve"> </w:t>
            </w:r>
            <w:r w:rsidRPr="00474DB3">
              <w:rPr>
                <w:noProof/>
              </w:rPr>
              <w:t>of the Y-axis (in a); therefore, these values are provided in the graph.</w:t>
            </w:r>
            <w:r w:rsidR="007F7CDC">
              <w:rPr>
                <w:noProof/>
              </w:rPr>
              <w:t xml:space="preserve"> </w:t>
            </w:r>
            <w:r w:rsidR="007F7CDC" w:rsidRPr="00FE4479">
              <w:t xml:space="preserve">From </w:t>
            </w:r>
            <w:proofErr w:type="spellStart"/>
            <w:r w:rsidR="007F7CDC" w:rsidRPr="00FE4479">
              <w:t>Skern-Mauritzen</w:t>
            </w:r>
            <w:proofErr w:type="spellEnd"/>
            <w:r w:rsidR="007F7CDC" w:rsidRPr="00FE4479">
              <w:t xml:space="preserve"> </w:t>
            </w:r>
            <w:r w:rsidR="007F7CDC" w:rsidRPr="007F7CDC">
              <w:rPr>
                <w:i/>
                <w:iCs/>
              </w:rPr>
              <w:t>et al.</w:t>
            </w:r>
            <w:r w:rsidR="007F7CDC" w:rsidRPr="00FE4479">
              <w:t xml:space="preserve"> (2022).</w:t>
            </w:r>
          </w:p>
        </w:tc>
      </w:tr>
    </w:tbl>
    <w:p w14:paraId="5D7AC89D" w14:textId="4A6F0CC5" w:rsidR="00D67AFB" w:rsidRDefault="00D67AFB">
      <w:pPr>
        <w:rPr>
          <w:b/>
          <w:bCs/>
        </w:rPr>
      </w:pPr>
    </w:p>
    <w:p w14:paraId="4C3F94A0" w14:textId="0C7D3843" w:rsidR="00474DB3" w:rsidRPr="003A16AC" w:rsidRDefault="00474DB3">
      <w:r w:rsidRPr="003A16AC">
        <w:t xml:space="preserve">The </w:t>
      </w:r>
      <w:r w:rsidR="003A16AC" w:rsidRPr="003A16AC">
        <w:t xml:space="preserve">mammal </w:t>
      </w:r>
      <w:r w:rsidRPr="003A16AC">
        <w:t xml:space="preserve">consumption by prey species </w:t>
      </w:r>
      <w:r w:rsidR="003A16AC">
        <w:t xml:space="preserve">shows that the commercial important fish species: </w:t>
      </w:r>
      <w:proofErr w:type="spellStart"/>
      <w:r w:rsidR="003A16AC">
        <w:t>sandeel</w:t>
      </w:r>
      <w:proofErr w:type="spellEnd"/>
      <w:r w:rsidR="003A16AC">
        <w:t xml:space="preserve">, herring, capelin, gadoids, and cephalopods are heavily predated (Figure 3). </w:t>
      </w:r>
    </w:p>
    <w:p w14:paraId="04ABAC94" w14:textId="77777777" w:rsidR="003A16AC" w:rsidRDefault="003A16AC">
      <w:pPr>
        <w:rPr>
          <w:b/>
          <w:bCs/>
        </w:rPr>
      </w:pPr>
    </w:p>
    <w:p w14:paraId="619A5D6F" w14:textId="77777777" w:rsidR="003A16AC" w:rsidRDefault="003A16AC">
      <w:pPr>
        <w:rPr>
          <w:b/>
          <w:bCs/>
        </w:rPr>
      </w:pPr>
    </w:p>
    <w:tbl>
      <w:tblPr>
        <w:tblStyle w:val="TableGrid"/>
        <w:tblW w:w="0" w:type="auto"/>
        <w:tblLook w:val="04A0" w:firstRow="1" w:lastRow="0" w:firstColumn="1" w:lastColumn="0" w:noHBand="0" w:noVBand="1"/>
      </w:tblPr>
      <w:tblGrid>
        <w:gridCol w:w="9628"/>
      </w:tblGrid>
      <w:tr w:rsidR="00474DB3" w14:paraId="2D5D1967" w14:textId="77777777" w:rsidTr="00474DB3">
        <w:tc>
          <w:tcPr>
            <w:tcW w:w="9628" w:type="dxa"/>
          </w:tcPr>
          <w:p w14:paraId="4EC3172E" w14:textId="4CBAC60F" w:rsidR="00474DB3" w:rsidRDefault="00474DB3">
            <w:pPr>
              <w:rPr>
                <w:b/>
                <w:bCs/>
              </w:rPr>
            </w:pPr>
            <w:r>
              <w:rPr>
                <w:noProof/>
              </w:rPr>
              <w:drawing>
                <wp:inline distT="0" distB="0" distL="0" distR="0" wp14:anchorId="344D01E5" wp14:editId="094E7CDF">
                  <wp:extent cx="6120130" cy="5495290"/>
                  <wp:effectExtent l="0" t="0" r="0" b="0"/>
                  <wp:docPr id="4" name="Picture 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imeline&#10;&#10;Description automatically generated"/>
                          <pic:cNvPicPr/>
                        </pic:nvPicPr>
                        <pic:blipFill>
                          <a:blip r:embed="rId13"/>
                          <a:stretch>
                            <a:fillRect/>
                          </a:stretch>
                        </pic:blipFill>
                        <pic:spPr>
                          <a:xfrm>
                            <a:off x="0" y="0"/>
                            <a:ext cx="6120130" cy="5495290"/>
                          </a:xfrm>
                          <a:prstGeom prst="rect">
                            <a:avLst/>
                          </a:prstGeom>
                        </pic:spPr>
                      </pic:pic>
                    </a:graphicData>
                  </a:graphic>
                </wp:inline>
              </w:drawing>
            </w:r>
          </w:p>
        </w:tc>
      </w:tr>
      <w:tr w:rsidR="00474DB3" w14:paraId="2470E1CD" w14:textId="77777777" w:rsidTr="00474DB3">
        <w:tc>
          <w:tcPr>
            <w:tcW w:w="9628" w:type="dxa"/>
          </w:tcPr>
          <w:p w14:paraId="67A44827" w14:textId="373AA1B3" w:rsidR="00474DB3" w:rsidRDefault="00474DB3" w:rsidP="00474DB3">
            <w:pPr>
              <w:rPr>
                <w:b/>
                <w:bCs/>
              </w:rPr>
            </w:pPr>
            <w:r>
              <w:rPr>
                <w:b/>
                <w:bCs/>
              </w:rPr>
              <w:t xml:space="preserve">Figure 3. </w:t>
            </w:r>
            <w:r w:rsidRPr="00474DB3">
              <w:t>Estimated marine mammal prey consumption. Boxplots [the box indicates the median (line) and the 25th and 75th quartiles], whiskers</w:t>
            </w:r>
            <w:r w:rsidRPr="00474DB3">
              <w:t xml:space="preserve"> </w:t>
            </w:r>
            <w:r w:rsidRPr="00474DB3">
              <w:t>reflecting minimum (Q25-1.5</w:t>
            </w:r>
            <w:r w:rsidRPr="00474DB3">
              <w:rPr>
                <w:rFonts w:ascii="Cambria Math" w:hAnsi="Cambria Math" w:cs="Cambria Math"/>
              </w:rPr>
              <w:t>∗</w:t>
            </w:r>
            <w:r w:rsidRPr="00474DB3">
              <w:t>(Q75</w:t>
            </w:r>
            <w:r w:rsidRPr="00474DB3">
              <w:rPr>
                <w:rFonts w:ascii="Calibri" w:hAnsi="Calibri" w:cs="Calibri"/>
              </w:rPr>
              <w:t>–</w:t>
            </w:r>
            <w:r w:rsidRPr="00474DB3">
              <w:t>25) and maximum Q75 + 1.5</w:t>
            </w:r>
            <w:r w:rsidRPr="00474DB3">
              <w:rPr>
                <w:rFonts w:ascii="Cambria Math" w:hAnsi="Cambria Math" w:cs="Cambria Math"/>
              </w:rPr>
              <w:t>∗</w:t>
            </w:r>
            <w:r w:rsidRPr="00474DB3">
              <w:t>(Q75</w:t>
            </w:r>
            <w:r w:rsidRPr="00474DB3">
              <w:rPr>
                <w:rFonts w:ascii="Calibri" w:hAnsi="Calibri" w:cs="Calibri"/>
              </w:rPr>
              <w:t>–</w:t>
            </w:r>
            <w:r w:rsidRPr="00474DB3">
              <w:t>25) values. Red lines indicate mean annual fisheries removals.</w:t>
            </w:r>
            <w:r w:rsidR="007F7CDC">
              <w:t xml:space="preserve"> </w:t>
            </w:r>
            <w:r w:rsidR="007F7CDC" w:rsidRPr="00FE4479">
              <w:t xml:space="preserve">From </w:t>
            </w:r>
            <w:proofErr w:type="spellStart"/>
            <w:r w:rsidR="007F7CDC" w:rsidRPr="00FE4479">
              <w:t>Skern-Mauritzen</w:t>
            </w:r>
            <w:proofErr w:type="spellEnd"/>
            <w:r w:rsidR="007F7CDC" w:rsidRPr="00FE4479">
              <w:t xml:space="preserve"> </w:t>
            </w:r>
            <w:r w:rsidR="007F7CDC" w:rsidRPr="007F7CDC">
              <w:rPr>
                <w:i/>
                <w:iCs/>
              </w:rPr>
              <w:t>et al.</w:t>
            </w:r>
            <w:r w:rsidR="007F7CDC" w:rsidRPr="00FE4479">
              <w:t xml:space="preserve"> (2022).</w:t>
            </w:r>
          </w:p>
        </w:tc>
      </w:tr>
    </w:tbl>
    <w:p w14:paraId="63F89B5A" w14:textId="122E3008" w:rsidR="00474DB3" w:rsidRDefault="00474DB3">
      <w:pPr>
        <w:rPr>
          <w:b/>
          <w:bCs/>
        </w:rPr>
      </w:pPr>
    </w:p>
    <w:p w14:paraId="2149C453" w14:textId="25FD6711" w:rsidR="00D67AFB" w:rsidRDefault="00D67AFB">
      <w:pPr>
        <w:rPr>
          <w:b/>
          <w:bCs/>
        </w:rPr>
      </w:pPr>
    </w:p>
    <w:p w14:paraId="0567B286" w14:textId="76386CC2" w:rsidR="00D67AFB" w:rsidRDefault="00D67AFB">
      <w:pPr>
        <w:rPr>
          <w:b/>
          <w:bCs/>
        </w:rPr>
      </w:pPr>
    </w:p>
    <w:p w14:paraId="6DB14383" w14:textId="629B872E" w:rsidR="00D67AFB" w:rsidRDefault="008F1DB2">
      <w:pPr>
        <w:rPr>
          <w:b/>
          <w:bCs/>
        </w:rPr>
      </w:pPr>
      <w:r>
        <w:rPr>
          <w:b/>
          <w:bCs/>
        </w:rPr>
        <w:t>M</w:t>
      </w:r>
      <w:r w:rsidR="00FA59A5">
        <w:rPr>
          <w:b/>
          <w:bCs/>
        </w:rPr>
        <w:t xml:space="preserve">arine mammal </w:t>
      </w:r>
      <w:r w:rsidR="00C84BC8">
        <w:rPr>
          <w:b/>
          <w:bCs/>
        </w:rPr>
        <w:t>spatial distribution</w:t>
      </w:r>
    </w:p>
    <w:p w14:paraId="31EC9978" w14:textId="2DF65056" w:rsidR="00BA12F2" w:rsidRDefault="00C542AB" w:rsidP="00C542AB">
      <w:r w:rsidRPr="00C542AB">
        <w:t xml:space="preserve">According to </w:t>
      </w:r>
      <w:proofErr w:type="spellStart"/>
      <w:r w:rsidRPr="00C542AB">
        <w:t>Magera</w:t>
      </w:r>
      <w:proofErr w:type="spellEnd"/>
      <w:r w:rsidRPr="00C542AB">
        <w:t xml:space="preserve"> </w:t>
      </w:r>
      <w:r w:rsidR="0034524A" w:rsidRPr="00902A80">
        <w:rPr>
          <w:i/>
          <w:iCs/>
        </w:rPr>
        <w:t>et al.</w:t>
      </w:r>
      <w:r w:rsidRPr="00C542AB">
        <w:t xml:space="preserve"> (2013)</w:t>
      </w:r>
      <w:r w:rsidR="00902A80">
        <w:t>:</w:t>
      </w:r>
      <w:r w:rsidRPr="00C542AB">
        <w:t xml:space="preserve"> “</w:t>
      </w:r>
      <w:r w:rsidRPr="00C542AB">
        <w:rPr>
          <w:i/>
          <w:iCs/>
        </w:rPr>
        <w:t>Overall, our results show that many formerly depleted marine mammal populations are recovering</w:t>
      </w:r>
      <w:r w:rsidRPr="00C542AB">
        <w:t xml:space="preserve">.” </w:t>
      </w:r>
      <w:r w:rsidR="007F63FD">
        <w:t xml:space="preserve">They refer to the </w:t>
      </w:r>
      <w:r w:rsidR="007F57B7">
        <w:t>g</w:t>
      </w:r>
      <w:r w:rsidR="007F63FD">
        <w:t xml:space="preserve">lobal situation. In the Northeast whaling ended already in the beginning of the 1900s and we will in the following review scientific information about trends in </w:t>
      </w:r>
      <w:r w:rsidR="00E205E1">
        <w:t xml:space="preserve">the </w:t>
      </w:r>
      <w:r w:rsidR="007F63FD">
        <w:t>stock</w:t>
      </w:r>
      <w:r w:rsidR="00E205E1">
        <w:t xml:space="preserve">s of the various marine mammal species. </w:t>
      </w:r>
      <w:r w:rsidR="007F63FD">
        <w:t xml:space="preserve"> </w:t>
      </w:r>
      <w:r w:rsidR="00E205E1">
        <w:t xml:space="preserve">We will focus on the species most important for the potential competition with the commercial fisheries.  </w:t>
      </w:r>
    </w:p>
    <w:p w14:paraId="57B0E07D" w14:textId="77777777" w:rsidR="004D56EE" w:rsidRDefault="004D56EE" w:rsidP="00C542AB"/>
    <w:p w14:paraId="386E4193" w14:textId="77777777" w:rsidR="004D56EE" w:rsidRDefault="004D56EE" w:rsidP="00C542AB"/>
    <w:tbl>
      <w:tblPr>
        <w:tblStyle w:val="TableGrid"/>
        <w:tblW w:w="0" w:type="auto"/>
        <w:tblLook w:val="04A0" w:firstRow="1" w:lastRow="0" w:firstColumn="1" w:lastColumn="0" w:noHBand="0" w:noVBand="1"/>
      </w:tblPr>
      <w:tblGrid>
        <w:gridCol w:w="4815"/>
        <w:gridCol w:w="4813"/>
      </w:tblGrid>
      <w:tr w:rsidR="004D56EE" w14:paraId="56F54954" w14:textId="77777777" w:rsidTr="00301201">
        <w:tc>
          <w:tcPr>
            <w:tcW w:w="4815" w:type="dxa"/>
          </w:tcPr>
          <w:p w14:paraId="296FC313" w14:textId="77777777" w:rsidR="004D56EE" w:rsidRDefault="004D56EE" w:rsidP="00301201">
            <w:pPr>
              <w:rPr>
                <w:b/>
                <w:bCs/>
              </w:rPr>
            </w:pPr>
          </w:p>
          <w:p w14:paraId="3F9B8C11" w14:textId="77777777" w:rsidR="004D56EE" w:rsidRDefault="004D56EE" w:rsidP="00301201">
            <w:pPr>
              <w:rPr>
                <w:b/>
                <w:bCs/>
              </w:rPr>
            </w:pPr>
            <w:r>
              <w:rPr>
                <w:b/>
                <w:bCs/>
                <w:noProof/>
              </w:rPr>
              <w:drawing>
                <wp:inline distT="0" distB="0" distL="0" distR="0" wp14:anchorId="34B0EE05" wp14:editId="02A7FBBB">
                  <wp:extent cx="2738743" cy="1936377"/>
                  <wp:effectExtent l="0" t="0" r="5080" b="6985"/>
                  <wp:docPr id="1930186458" name="Picture 193018645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64735" cy="1954754"/>
                          </a:xfrm>
                          <a:prstGeom prst="rect">
                            <a:avLst/>
                          </a:prstGeom>
                          <a:noFill/>
                        </pic:spPr>
                      </pic:pic>
                    </a:graphicData>
                  </a:graphic>
                </wp:inline>
              </w:drawing>
            </w:r>
          </w:p>
          <w:p w14:paraId="4D592BB0" w14:textId="77777777" w:rsidR="004D56EE" w:rsidRDefault="004D56EE" w:rsidP="00301201">
            <w:pPr>
              <w:rPr>
                <w:b/>
                <w:bCs/>
              </w:rPr>
            </w:pPr>
          </w:p>
        </w:tc>
        <w:tc>
          <w:tcPr>
            <w:tcW w:w="4813" w:type="dxa"/>
          </w:tcPr>
          <w:p w14:paraId="70EDCBA9" w14:textId="77777777" w:rsidR="004D56EE" w:rsidRDefault="004D56EE" w:rsidP="00301201">
            <w:pPr>
              <w:rPr>
                <w:b/>
                <w:bCs/>
                <w:noProof/>
              </w:rPr>
            </w:pPr>
          </w:p>
          <w:p w14:paraId="6DAB1298" w14:textId="77777777" w:rsidR="004D56EE" w:rsidRDefault="004D56EE" w:rsidP="00301201">
            <w:pPr>
              <w:rPr>
                <w:b/>
                <w:bCs/>
                <w:noProof/>
              </w:rPr>
            </w:pPr>
            <w:r>
              <w:rPr>
                <w:b/>
                <w:bCs/>
                <w:noProof/>
              </w:rPr>
              <w:drawing>
                <wp:inline distT="0" distB="0" distL="0" distR="0" wp14:anchorId="0170D41C" wp14:editId="6085D8DD">
                  <wp:extent cx="2540396" cy="2133600"/>
                  <wp:effectExtent l="0" t="0" r="0" b="0"/>
                  <wp:docPr id="626274516" name="Picture 62627451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274516" name="Picture 626274516" descr="Map&#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43015" cy="2135800"/>
                          </a:xfrm>
                          <a:prstGeom prst="rect">
                            <a:avLst/>
                          </a:prstGeom>
                          <a:noFill/>
                        </pic:spPr>
                      </pic:pic>
                    </a:graphicData>
                  </a:graphic>
                </wp:inline>
              </w:drawing>
            </w:r>
          </w:p>
        </w:tc>
      </w:tr>
      <w:tr w:rsidR="004D56EE" w14:paraId="66ACC6B3" w14:textId="77777777" w:rsidTr="00301201">
        <w:tc>
          <w:tcPr>
            <w:tcW w:w="4815" w:type="dxa"/>
          </w:tcPr>
          <w:p w14:paraId="1B0AFBF3" w14:textId="77777777" w:rsidR="004D56EE" w:rsidRPr="004D56EE" w:rsidRDefault="004D56EE" w:rsidP="00301201">
            <w:pPr>
              <w:rPr>
                <w:rFonts w:cstheme="minorHAnsi"/>
                <w:noProof/>
              </w:rPr>
            </w:pPr>
            <w:r w:rsidRPr="004D56EE">
              <w:t>Minke whales.  Summer distribution in the North Atlantic, showing sightings and effort from all North Atlantic Sightings surveys, 1987 – 2015, as well as 2007 CODA and SNESSA surveys. Not all areas were surveyed each year.</w:t>
            </w:r>
          </w:p>
        </w:tc>
        <w:tc>
          <w:tcPr>
            <w:tcW w:w="4813" w:type="dxa"/>
          </w:tcPr>
          <w:p w14:paraId="0F706A5A" w14:textId="77777777" w:rsidR="004D56EE" w:rsidRPr="004D56EE" w:rsidRDefault="004D56EE" w:rsidP="00301201">
            <w:pPr>
              <w:rPr>
                <w:noProof/>
              </w:rPr>
            </w:pPr>
            <w:r w:rsidRPr="004D56EE">
              <w:rPr>
                <w:noProof/>
              </w:rPr>
              <w:t>Minke whale global distribution. Adapted by Nina Lisowski from Würsig,B., Thewissen, J.G.M. and Kovacs, K.M. Editors (2018) "Encyclopedia of Marine Mammals", 3rd ed. Academic Press, Elsevier: San Diego. CA. Copyright Elsevier: San Diego. Ca. Copyright elsevier: http://www.Elsevier.Com</w:t>
            </w:r>
          </w:p>
        </w:tc>
      </w:tr>
      <w:tr w:rsidR="004D56EE" w14:paraId="45284376" w14:textId="77777777" w:rsidTr="00301201">
        <w:tc>
          <w:tcPr>
            <w:tcW w:w="9628" w:type="dxa"/>
            <w:gridSpan w:val="2"/>
          </w:tcPr>
          <w:p w14:paraId="0D4FB039" w14:textId="1757FF6B" w:rsidR="004D56EE" w:rsidRDefault="004D56EE" w:rsidP="00301201">
            <w:pPr>
              <w:rPr>
                <w:b/>
                <w:bCs/>
              </w:rPr>
            </w:pPr>
            <w:r>
              <w:rPr>
                <w:b/>
                <w:bCs/>
              </w:rPr>
              <w:t xml:space="preserve">Figure 4. </w:t>
            </w:r>
            <w:r w:rsidRPr="004D56EE">
              <w:t>Minke whale spatial distribution.</w:t>
            </w:r>
            <w:r>
              <w:rPr>
                <w:b/>
                <w:bCs/>
              </w:rPr>
              <w:t xml:space="preserve"> </w:t>
            </w:r>
            <w:r w:rsidR="007F7CDC" w:rsidRPr="007F7CDC">
              <w:t>From NAMMCO and IWC.</w:t>
            </w:r>
          </w:p>
        </w:tc>
      </w:tr>
    </w:tbl>
    <w:p w14:paraId="54ADC51D" w14:textId="77777777" w:rsidR="004D56EE" w:rsidRDefault="004D56EE" w:rsidP="00C542AB"/>
    <w:tbl>
      <w:tblPr>
        <w:tblStyle w:val="TableGrid"/>
        <w:tblW w:w="0" w:type="auto"/>
        <w:tblLook w:val="04A0" w:firstRow="1" w:lastRow="0" w:firstColumn="1" w:lastColumn="0" w:noHBand="0" w:noVBand="1"/>
      </w:tblPr>
      <w:tblGrid>
        <w:gridCol w:w="4815"/>
        <w:gridCol w:w="4813"/>
      </w:tblGrid>
      <w:tr w:rsidR="004D56EE" w14:paraId="626EEBCA" w14:textId="77777777" w:rsidTr="00301201">
        <w:tc>
          <w:tcPr>
            <w:tcW w:w="4815" w:type="dxa"/>
          </w:tcPr>
          <w:p w14:paraId="43AD7D3E" w14:textId="77777777" w:rsidR="004D56EE" w:rsidRDefault="004D56EE" w:rsidP="00301201">
            <w:pPr>
              <w:rPr>
                <w:b/>
                <w:bCs/>
              </w:rPr>
            </w:pPr>
            <w:r>
              <w:rPr>
                <w:b/>
                <w:bCs/>
                <w:noProof/>
              </w:rPr>
              <w:lastRenderedPageBreak/>
              <w:drawing>
                <wp:inline distT="0" distB="0" distL="0" distR="0" wp14:anchorId="67DDC4B5" wp14:editId="41D03490">
                  <wp:extent cx="2786230" cy="1969951"/>
                  <wp:effectExtent l="0" t="0" r="0" b="0"/>
                  <wp:docPr id="1286214552" name="Picture 128621455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05524" cy="1983593"/>
                          </a:xfrm>
                          <a:prstGeom prst="rect">
                            <a:avLst/>
                          </a:prstGeom>
                          <a:noFill/>
                        </pic:spPr>
                      </pic:pic>
                    </a:graphicData>
                  </a:graphic>
                </wp:inline>
              </w:drawing>
            </w:r>
          </w:p>
        </w:tc>
        <w:tc>
          <w:tcPr>
            <w:tcW w:w="4813" w:type="dxa"/>
          </w:tcPr>
          <w:p w14:paraId="34F2D1FF" w14:textId="77777777" w:rsidR="004D56EE" w:rsidRDefault="004D56EE" w:rsidP="00301201">
            <w:pPr>
              <w:rPr>
                <w:b/>
                <w:bCs/>
                <w:noProof/>
              </w:rPr>
            </w:pPr>
            <w:r>
              <w:rPr>
                <w:b/>
                <w:bCs/>
                <w:noProof/>
              </w:rPr>
              <w:drawing>
                <wp:inline distT="0" distB="0" distL="0" distR="0" wp14:anchorId="6B7D45DC" wp14:editId="3FEE090D">
                  <wp:extent cx="2465070" cy="2054225"/>
                  <wp:effectExtent l="0" t="0" r="0" b="3175"/>
                  <wp:docPr id="1470679664" name="Picture 147067966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679664" name="Picture 1470679664" descr="Map&#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65070" cy="2054225"/>
                          </a:xfrm>
                          <a:prstGeom prst="rect">
                            <a:avLst/>
                          </a:prstGeom>
                          <a:noFill/>
                        </pic:spPr>
                      </pic:pic>
                    </a:graphicData>
                  </a:graphic>
                </wp:inline>
              </w:drawing>
            </w:r>
          </w:p>
        </w:tc>
      </w:tr>
      <w:tr w:rsidR="004D56EE" w14:paraId="11938F22" w14:textId="77777777" w:rsidTr="00301201">
        <w:tc>
          <w:tcPr>
            <w:tcW w:w="4815" w:type="dxa"/>
          </w:tcPr>
          <w:p w14:paraId="5458A183" w14:textId="77777777" w:rsidR="004D56EE" w:rsidRPr="004D56EE" w:rsidRDefault="004D56EE" w:rsidP="00301201">
            <w:r w:rsidRPr="004D56EE">
              <w:t>Summer distribution of fin whales in the North Atlantic, showing sightings and effort from all North Atlantic Sightings surveys, 1987 – 2015, as well as 2007 CODA and SNESSA surveys. Not all areas were surveyed each year.</w:t>
            </w:r>
          </w:p>
        </w:tc>
        <w:tc>
          <w:tcPr>
            <w:tcW w:w="4813" w:type="dxa"/>
          </w:tcPr>
          <w:p w14:paraId="67390577" w14:textId="77777777" w:rsidR="004D56EE" w:rsidRPr="004D56EE" w:rsidRDefault="004D56EE" w:rsidP="00301201">
            <w:pPr>
              <w:rPr>
                <w:noProof/>
              </w:rPr>
            </w:pPr>
            <w:r w:rsidRPr="004D56EE">
              <w:rPr>
                <w:noProof/>
              </w:rPr>
              <w:t>Fin whale global distribution. Adapted by Nina Lisowski from Würsig,B., Thewissen, J.G.M. and Kovacs, K.M. Editors (2018) "Encyclopedia of Marine Mammals", 3rd ed. Academic Press, Elsevier: San Diego. CA. Copyright Elsevier:</w:t>
            </w:r>
          </w:p>
        </w:tc>
      </w:tr>
      <w:tr w:rsidR="004D56EE" w:rsidRPr="0002191F" w14:paraId="04E88909" w14:textId="77777777" w:rsidTr="00301201">
        <w:tc>
          <w:tcPr>
            <w:tcW w:w="9628" w:type="dxa"/>
            <w:gridSpan w:val="2"/>
          </w:tcPr>
          <w:p w14:paraId="64E6CA37" w14:textId="6B9ABD89" w:rsidR="004D56EE" w:rsidRPr="0002191F" w:rsidRDefault="004D56EE" w:rsidP="00301201">
            <w:pPr>
              <w:rPr>
                <w:b/>
                <w:bCs/>
                <w:noProof/>
              </w:rPr>
            </w:pPr>
            <w:r>
              <w:rPr>
                <w:b/>
                <w:bCs/>
                <w:noProof/>
              </w:rPr>
              <w:t xml:space="preserve">Figure 5. </w:t>
            </w:r>
            <w:r w:rsidRPr="004D56EE">
              <w:rPr>
                <w:noProof/>
              </w:rPr>
              <w:t>Fin whale spatial distribution.</w:t>
            </w:r>
            <w:r w:rsidR="007F7CDC">
              <w:rPr>
                <w:noProof/>
              </w:rPr>
              <w:t xml:space="preserve"> </w:t>
            </w:r>
            <w:r w:rsidR="007F7CDC" w:rsidRPr="007F7CDC">
              <w:t>From NAMMCO and IWC.</w:t>
            </w:r>
          </w:p>
        </w:tc>
      </w:tr>
    </w:tbl>
    <w:p w14:paraId="3F4256FE" w14:textId="77777777" w:rsidR="004D56EE" w:rsidRDefault="004D56EE" w:rsidP="00C542AB"/>
    <w:p w14:paraId="57EE6894" w14:textId="77777777" w:rsidR="004D56EE" w:rsidRDefault="004D56EE" w:rsidP="00C542AB"/>
    <w:tbl>
      <w:tblPr>
        <w:tblStyle w:val="TableGrid"/>
        <w:tblW w:w="0" w:type="auto"/>
        <w:tblLook w:val="04A0" w:firstRow="1" w:lastRow="0" w:firstColumn="1" w:lastColumn="0" w:noHBand="0" w:noVBand="1"/>
      </w:tblPr>
      <w:tblGrid>
        <w:gridCol w:w="4815"/>
        <w:gridCol w:w="4813"/>
      </w:tblGrid>
      <w:tr w:rsidR="004D56EE" w14:paraId="1E010C37" w14:textId="77777777" w:rsidTr="00301201">
        <w:tc>
          <w:tcPr>
            <w:tcW w:w="4815" w:type="dxa"/>
          </w:tcPr>
          <w:p w14:paraId="6A86FEB8" w14:textId="77777777" w:rsidR="004D56EE" w:rsidRDefault="004D56EE" w:rsidP="00301201">
            <w:pPr>
              <w:rPr>
                <w:b/>
                <w:bCs/>
                <w:noProof/>
              </w:rPr>
            </w:pPr>
          </w:p>
          <w:p w14:paraId="57E6D659" w14:textId="77777777" w:rsidR="004D56EE" w:rsidRDefault="004D56EE" w:rsidP="00301201">
            <w:pPr>
              <w:rPr>
                <w:b/>
                <w:bCs/>
                <w:noProof/>
              </w:rPr>
            </w:pPr>
            <w:r>
              <w:rPr>
                <w:b/>
                <w:bCs/>
                <w:noProof/>
              </w:rPr>
              <w:drawing>
                <wp:inline distT="0" distB="0" distL="0" distR="0" wp14:anchorId="7A4030AF" wp14:editId="0B98A669">
                  <wp:extent cx="2705100" cy="1912590"/>
                  <wp:effectExtent l="0" t="0" r="0" b="0"/>
                  <wp:docPr id="1328051242" name="Picture 132805124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ap&#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17658" cy="1921469"/>
                          </a:xfrm>
                          <a:prstGeom prst="rect">
                            <a:avLst/>
                          </a:prstGeom>
                          <a:noFill/>
                        </pic:spPr>
                      </pic:pic>
                    </a:graphicData>
                  </a:graphic>
                </wp:inline>
              </w:drawing>
            </w:r>
          </w:p>
          <w:p w14:paraId="4DB9F7B0" w14:textId="77777777" w:rsidR="004D56EE" w:rsidRDefault="004D56EE" w:rsidP="00301201">
            <w:pPr>
              <w:rPr>
                <w:b/>
                <w:bCs/>
                <w:noProof/>
              </w:rPr>
            </w:pPr>
          </w:p>
        </w:tc>
        <w:tc>
          <w:tcPr>
            <w:tcW w:w="4813" w:type="dxa"/>
          </w:tcPr>
          <w:p w14:paraId="725FEF3B" w14:textId="77777777" w:rsidR="004D56EE" w:rsidRDefault="004D56EE" w:rsidP="00301201">
            <w:pPr>
              <w:rPr>
                <w:b/>
                <w:bCs/>
                <w:noProof/>
              </w:rPr>
            </w:pPr>
          </w:p>
          <w:p w14:paraId="65699188" w14:textId="77777777" w:rsidR="004D56EE" w:rsidRDefault="004D56EE" w:rsidP="00301201">
            <w:pPr>
              <w:rPr>
                <w:b/>
                <w:bCs/>
                <w:noProof/>
              </w:rPr>
            </w:pPr>
            <w:r>
              <w:rPr>
                <w:b/>
                <w:bCs/>
                <w:noProof/>
              </w:rPr>
              <w:drawing>
                <wp:inline distT="0" distB="0" distL="0" distR="0" wp14:anchorId="7A34AEEE" wp14:editId="5227E7C8">
                  <wp:extent cx="2544537" cy="2095500"/>
                  <wp:effectExtent l="0" t="0" r="8255" b="0"/>
                  <wp:docPr id="49733050" name="Picture 49733050" descr="A map of the wor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33050" name="Picture 49733050" descr="A map of the world&#10;&#10;Description automatically generated with low confidenc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48168" cy="2098490"/>
                          </a:xfrm>
                          <a:prstGeom prst="rect">
                            <a:avLst/>
                          </a:prstGeom>
                          <a:noFill/>
                        </pic:spPr>
                      </pic:pic>
                    </a:graphicData>
                  </a:graphic>
                </wp:inline>
              </w:drawing>
            </w:r>
          </w:p>
        </w:tc>
      </w:tr>
      <w:tr w:rsidR="004D56EE" w:rsidRPr="004D56EE" w14:paraId="30A65E29" w14:textId="77777777" w:rsidTr="00301201">
        <w:tc>
          <w:tcPr>
            <w:tcW w:w="4815" w:type="dxa"/>
          </w:tcPr>
          <w:p w14:paraId="293E4C7C" w14:textId="77777777" w:rsidR="004D56EE" w:rsidRPr="004D56EE" w:rsidRDefault="004D56EE" w:rsidP="00301201">
            <w:r w:rsidRPr="004D56EE">
              <w:t>Summer sightings of humpback whales during all NASS from 1987-2015. Black lines indicate areas surveyed (not all areas surveyed in each year).</w:t>
            </w:r>
          </w:p>
        </w:tc>
        <w:tc>
          <w:tcPr>
            <w:tcW w:w="4813" w:type="dxa"/>
          </w:tcPr>
          <w:p w14:paraId="5608F4DB" w14:textId="77777777" w:rsidR="004D56EE" w:rsidRPr="004D56EE" w:rsidRDefault="004D56EE" w:rsidP="00301201">
            <w:r w:rsidRPr="004D56EE">
              <w:t xml:space="preserve">Humpback whale global distribution. Adapted by Nina </w:t>
            </w:r>
            <w:proofErr w:type="spellStart"/>
            <w:r w:rsidRPr="004D56EE">
              <w:t>Lisowski</w:t>
            </w:r>
            <w:proofErr w:type="spellEnd"/>
            <w:r w:rsidRPr="004D56EE">
              <w:t xml:space="preserve"> from Jefferson, T.A., Webber, M.A. and Pitman, R.L. (2015). “Marine Mammals of the World: A Comprehensive Guide to Their Identification,” 2nd ed. Elsevier, San Diego, CA. Copyright Elsevier: http://www.elsevier.com</w:t>
            </w:r>
          </w:p>
        </w:tc>
      </w:tr>
      <w:tr w:rsidR="004D56EE" w:rsidRPr="00504CE1" w14:paraId="6850AE6B" w14:textId="77777777" w:rsidTr="00301201">
        <w:tc>
          <w:tcPr>
            <w:tcW w:w="9628" w:type="dxa"/>
            <w:gridSpan w:val="2"/>
          </w:tcPr>
          <w:p w14:paraId="7977143F" w14:textId="2A661A7F" w:rsidR="004D56EE" w:rsidRPr="00504CE1" w:rsidRDefault="004D56EE" w:rsidP="00301201">
            <w:pPr>
              <w:rPr>
                <w:b/>
                <w:bCs/>
              </w:rPr>
            </w:pPr>
            <w:r>
              <w:rPr>
                <w:b/>
                <w:bCs/>
              </w:rPr>
              <w:t xml:space="preserve">Figure 6. </w:t>
            </w:r>
            <w:r w:rsidRPr="004D56EE">
              <w:t>Humpback whale spatial distribution.</w:t>
            </w:r>
            <w:r>
              <w:rPr>
                <w:b/>
                <w:bCs/>
              </w:rPr>
              <w:t xml:space="preserve"> </w:t>
            </w:r>
            <w:r w:rsidR="007F7CDC" w:rsidRPr="007F7CDC">
              <w:t>From NAMMCO and IWC.</w:t>
            </w:r>
          </w:p>
        </w:tc>
      </w:tr>
    </w:tbl>
    <w:p w14:paraId="3A59C75D" w14:textId="77777777" w:rsidR="004D56EE" w:rsidRDefault="004D56EE" w:rsidP="00C542AB"/>
    <w:p w14:paraId="7DAB407A" w14:textId="77777777" w:rsidR="004D56EE" w:rsidRDefault="004D56EE" w:rsidP="00C542AB"/>
    <w:tbl>
      <w:tblPr>
        <w:tblStyle w:val="TableGrid"/>
        <w:tblW w:w="0" w:type="auto"/>
        <w:tblLook w:val="04A0" w:firstRow="1" w:lastRow="0" w:firstColumn="1" w:lastColumn="0" w:noHBand="0" w:noVBand="1"/>
      </w:tblPr>
      <w:tblGrid>
        <w:gridCol w:w="4815"/>
        <w:gridCol w:w="4813"/>
      </w:tblGrid>
      <w:tr w:rsidR="006E5339" w14:paraId="01B087B1" w14:textId="77777777" w:rsidTr="00301201">
        <w:tc>
          <w:tcPr>
            <w:tcW w:w="4815" w:type="dxa"/>
          </w:tcPr>
          <w:p w14:paraId="77C92D07" w14:textId="77777777" w:rsidR="006E5339" w:rsidRDefault="006E5339" w:rsidP="00301201">
            <w:pPr>
              <w:rPr>
                <w:b/>
                <w:bCs/>
              </w:rPr>
            </w:pPr>
          </w:p>
          <w:p w14:paraId="7BD14AFE" w14:textId="77777777" w:rsidR="006E5339" w:rsidRDefault="006E5339" w:rsidP="00301201">
            <w:pPr>
              <w:rPr>
                <w:b/>
                <w:bCs/>
              </w:rPr>
            </w:pPr>
            <w:r>
              <w:rPr>
                <w:b/>
                <w:bCs/>
                <w:noProof/>
              </w:rPr>
              <w:drawing>
                <wp:inline distT="0" distB="0" distL="0" distR="0" wp14:anchorId="0727BC0D" wp14:editId="1A65E3E4">
                  <wp:extent cx="2705100" cy="1912589"/>
                  <wp:effectExtent l="0" t="0" r="0" b="0"/>
                  <wp:docPr id="2136933670" name="Picture 213693367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18234" cy="1921875"/>
                          </a:xfrm>
                          <a:prstGeom prst="rect">
                            <a:avLst/>
                          </a:prstGeom>
                          <a:noFill/>
                        </pic:spPr>
                      </pic:pic>
                    </a:graphicData>
                  </a:graphic>
                </wp:inline>
              </w:drawing>
            </w:r>
          </w:p>
        </w:tc>
        <w:tc>
          <w:tcPr>
            <w:tcW w:w="4813" w:type="dxa"/>
          </w:tcPr>
          <w:p w14:paraId="2736F061" w14:textId="77777777" w:rsidR="006E5339" w:rsidRDefault="006E5339" w:rsidP="00301201">
            <w:pPr>
              <w:rPr>
                <w:b/>
                <w:bCs/>
                <w:noProof/>
              </w:rPr>
            </w:pPr>
            <w:r>
              <w:rPr>
                <w:b/>
                <w:bCs/>
                <w:noProof/>
              </w:rPr>
              <w:drawing>
                <wp:inline distT="0" distB="0" distL="0" distR="0" wp14:anchorId="51E458E6" wp14:editId="40335CCD">
                  <wp:extent cx="2819400" cy="2404782"/>
                  <wp:effectExtent l="0" t="0" r="0" b="0"/>
                  <wp:docPr id="1800817037" name="Picture 180081703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817037" name="Picture 1800817037" descr="Map&#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19965" cy="2405264"/>
                          </a:xfrm>
                          <a:prstGeom prst="rect">
                            <a:avLst/>
                          </a:prstGeom>
                          <a:noFill/>
                        </pic:spPr>
                      </pic:pic>
                    </a:graphicData>
                  </a:graphic>
                </wp:inline>
              </w:drawing>
            </w:r>
          </w:p>
        </w:tc>
      </w:tr>
      <w:tr w:rsidR="006E5339" w:rsidRPr="006E5339" w14:paraId="05B4332D" w14:textId="77777777" w:rsidTr="00301201">
        <w:tc>
          <w:tcPr>
            <w:tcW w:w="4815" w:type="dxa"/>
          </w:tcPr>
          <w:p w14:paraId="6C524B98" w14:textId="77777777" w:rsidR="006E5339" w:rsidRPr="006E5339" w:rsidRDefault="006E5339" w:rsidP="00301201">
            <w:r w:rsidRPr="006E5339">
              <w:t>Summer distribution of long-finned pilot whales in the North Atlantic, showing sightings from all North Atlantic Sightings Surveys, 1987 – 2015, as well as 2007 CODA and SNESSA surveys.</w:t>
            </w:r>
          </w:p>
        </w:tc>
        <w:tc>
          <w:tcPr>
            <w:tcW w:w="4813" w:type="dxa"/>
          </w:tcPr>
          <w:p w14:paraId="2C2AEC33" w14:textId="77777777" w:rsidR="006E5339" w:rsidRPr="006E5339" w:rsidRDefault="006E5339" w:rsidP="00301201">
            <w:r w:rsidRPr="006E5339">
              <w:t xml:space="preserve">Pilot whale global distribution. Adapted by Nina </w:t>
            </w:r>
            <w:proofErr w:type="spellStart"/>
            <w:r w:rsidRPr="006E5339">
              <w:t>Lisowski</w:t>
            </w:r>
            <w:proofErr w:type="spellEnd"/>
            <w:r w:rsidRPr="006E5339">
              <w:t xml:space="preserve"> from </w:t>
            </w:r>
            <w:proofErr w:type="spellStart"/>
            <w:r w:rsidRPr="006E5339">
              <w:t>Würsig,B</w:t>
            </w:r>
            <w:proofErr w:type="spellEnd"/>
            <w:r w:rsidRPr="006E5339">
              <w:t xml:space="preserve">., </w:t>
            </w:r>
            <w:proofErr w:type="spellStart"/>
            <w:r w:rsidRPr="006E5339">
              <w:t>Thewissen</w:t>
            </w:r>
            <w:proofErr w:type="spellEnd"/>
            <w:r w:rsidRPr="006E5339">
              <w:t>, J.G.M. and Kovacs, K.M. Editors (2018) "</w:t>
            </w:r>
            <w:proofErr w:type="spellStart"/>
            <w:r w:rsidRPr="006E5339">
              <w:t>Encyclopedia</w:t>
            </w:r>
            <w:proofErr w:type="spellEnd"/>
            <w:r w:rsidRPr="006E5339">
              <w:t xml:space="preserve"> of Marine Mammals", 3rd ed. Academic Press, Elsevier: San Diego. CA. Copyright Elsevier: http://www.elsevier.com</w:t>
            </w:r>
          </w:p>
        </w:tc>
      </w:tr>
      <w:tr w:rsidR="006E5339" w:rsidRPr="001456CB" w14:paraId="6728112C" w14:textId="77777777" w:rsidTr="00301201">
        <w:tc>
          <w:tcPr>
            <w:tcW w:w="9628" w:type="dxa"/>
            <w:gridSpan w:val="2"/>
          </w:tcPr>
          <w:p w14:paraId="6D1C063C" w14:textId="41EE367A" w:rsidR="006E5339" w:rsidRPr="001456CB" w:rsidRDefault="006E5339" w:rsidP="00301201">
            <w:pPr>
              <w:rPr>
                <w:b/>
                <w:bCs/>
              </w:rPr>
            </w:pPr>
            <w:r>
              <w:rPr>
                <w:b/>
                <w:bCs/>
              </w:rPr>
              <w:t xml:space="preserve">Figure 7. </w:t>
            </w:r>
            <w:r w:rsidRPr="006E5339">
              <w:t xml:space="preserve">Long-fines pilot whale </w:t>
            </w:r>
            <w:r>
              <w:t xml:space="preserve">spatial </w:t>
            </w:r>
            <w:r w:rsidRPr="006E5339">
              <w:t>distribution.</w:t>
            </w:r>
            <w:r w:rsidR="007F7CDC">
              <w:t xml:space="preserve"> </w:t>
            </w:r>
            <w:r w:rsidR="007F7CDC" w:rsidRPr="007F7CDC">
              <w:t>From NAMMCO and IWC.</w:t>
            </w:r>
          </w:p>
        </w:tc>
      </w:tr>
    </w:tbl>
    <w:p w14:paraId="5A149BE7" w14:textId="77777777" w:rsidR="006E5339" w:rsidRDefault="006E5339" w:rsidP="00C542AB"/>
    <w:tbl>
      <w:tblPr>
        <w:tblStyle w:val="TableGrid"/>
        <w:tblW w:w="0" w:type="auto"/>
        <w:tblLook w:val="04A0" w:firstRow="1" w:lastRow="0" w:firstColumn="1" w:lastColumn="0" w:noHBand="0" w:noVBand="1"/>
      </w:tblPr>
      <w:tblGrid>
        <w:gridCol w:w="4815"/>
        <w:gridCol w:w="4813"/>
      </w:tblGrid>
      <w:tr w:rsidR="006E5339" w14:paraId="5CF060B1" w14:textId="77777777" w:rsidTr="00301201">
        <w:tc>
          <w:tcPr>
            <w:tcW w:w="4815" w:type="dxa"/>
          </w:tcPr>
          <w:p w14:paraId="3AEDA274" w14:textId="77777777" w:rsidR="006E5339" w:rsidRDefault="006E5339" w:rsidP="00301201">
            <w:pPr>
              <w:rPr>
                <w:b/>
                <w:bCs/>
              </w:rPr>
            </w:pPr>
          </w:p>
          <w:p w14:paraId="497E1767" w14:textId="77777777" w:rsidR="006E5339" w:rsidRDefault="006E5339" w:rsidP="00301201">
            <w:pPr>
              <w:rPr>
                <w:b/>
                <w:bCs/>
              </w:rPr>
            </w:pPr>
          </w:p>
          <w:p w14:paraId="0554AD67" w14:textId="77777777" w:rsidR="006E5339" w:rsidRDefault="006E5339" w:rsidP="00301201">
            <w:pPr>
              <w:rPr>
                <w:b/>
                <w:bCs/>
              </w:rPr>
            </w:pPr>
            <w:r>
              <w:rPr>
                <w:b/>
                <w:bCs/>
                <w:noProof/>
              </w:rPr>
              <w:drawing>
                <wp:inline distT="0" distB="0" distL="0" distR="0" wp14:anchorId="061E979A" wp14:editId="5EAA96E1">
                  <wp:extent cx="2708312" cy="1914862"/>
                  <wp:effectExtent l="0" t="0" r="0" b="9525"/>
                  <wp:docPr id="685121015" name="Picture 68512101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43863" cy="1939997"/>
                          </a:xfrm>
                          <a:prstGeom prst="rect">
                            <a:avLst/>
                          </a:prstGeom>
                          <a:noFill/>
                        </pic:spPr>
                      </pic:pic>
                    </a:graphicData>
                  </a:graphic>
                </wp:inline>
              </w:drawing>
            </w:r>
          </w:p>
          <w:p w14:paraId="1C8CF9E0" w14:textId="77777777" w:rsidR="006E5339" w:rsidRDefault="006E5339" w:rsidP="00301201">
            <w:pPr>
              <w:rPr>
                <w:b/>
                <w:bCs/>
              </w:rPr>
            </w:pPr>
          </w:p>
        </w:tc>
        <w:tc>
          <w:tcPr>
            <w:tcW w:w="4813" w:type="dxa"/>
          </w:tcPr>
          <w:p w14:paraId="675AB55A" w14:textId="77777777" w:rsidR="006E5339" w:rsidRDefault="006E5339" w:rsidP="00301201">
            <w:pPr>
              <w:rPr>
                <w:b/>
                <w:bCs/>
                <w:noProof/>
              </w:rPr>
            </w:pPr>
          </w:p>
          <w:p w14:paraId="1DEC39A1" w14:textId="77777777" w:rsidR="006E5339" w:rsidRDefault="006E5339" w:rsidP="00301201">
            <w:pPr>
              <w:rPr>
                <w:b/>
                <w:bCs/>
                <w:noProof/>
              </w:rPr>
            </w:pPr>
          </w:p>
          <w:p w14:paraId="0A6B999A" w14:textId="77777777" w:rsidR="006E5339" w:rsidRDefault="006E5339" w:rsidP="00301201">
            <w:pPr>
              <w:rPr>
                <w:b/>
                <w:bCs/>
                <w:noProof/>
              </w:rPr>
            </w:pPr>
            <w:r>
              <w:rPr>
                <w:b/>
                <w:bCs/>
                <w:noProof/>
              </w:rPr>
              <w:drawing>
                <wp:inline distT="0" distB="0" distL="0" distR="0" wp14:anchorId="516B2ED2" wp14:editId="17F01C83">
                  <wp:extent cx="2419350" cy="2016125"/>
                  <wp:effectExtent l="0" t="0" r="0" b="3175"/>
                  <wp:docPr id="1422332507" name="Picture 142233250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332507" name="Picture 1422332507" descr="Map&#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19350" cy="2016125"/>
                          </a:xfrm>
                          <a:prstGeom prst="rect">
                            <a:avLst/>
                          </a:prstGeom>
                          <a:noFill/>
                        </pic:spPr>
                      </pic:pic>
                    </a:graphicData>
                  </a:graphic>
                </wp:inline>
              </w:drawing>
            </w:r>
          </w:p>
        </w:tc>
      </w:tr>
      <w:tr w:rsidR="006E5339" w:rsidRPr="006E5339" w14:paraId="68154544" w14:textId="77777777" w:rsidTr="00301201">
        <w:tc>
          <w:tcPr>
            <w:tcW w:w="4815" w:type="dxa"/>
          </w:tcPr>
          <w:p w14:paraId="0CBA458A" w14:textId="77777777" w:rsidR="006E5339" w:rsidRPr="006E5339" w:rsidRDefault="006E5339" w:rsidP="00301201">
            <w:r w:rsidRPr="006E5339">
              <w:t>Killer whale sightings during North Atlantic Sightings Surveys from 1987-2015. Not all areas were surveyed each year.</w:t>
            </w:r>
          </w:p>
        </w:tc>
        <w:tc>
          <w:tcPr>
            <w:tcW w:w="4813" w:type="dxa"/>
          </w:tcPr>
          <w:p w14:paraId="610A6D70" w14:textId="77777777" w:rsidR="006E5339" w:rsidRPr="006E5339" w:rsidRDefault="006E5339" w:rsidP="00301201">
            <w:r w:rsidRPr="006E5339">
              <w:t xml:space="preserve">Killer whale global distribution. Adapted by Nina </w:t>
            </w:r>
            <w:proofErr w:type="spellStart"/>
            <w:r w:rsidRPr="006E5339">
              <w:t>Lisowski</w:t>
            </w:r>
            <w:proofErr w:type="spellEnd"/>
            <w:r w:rsidRPr="006E5339">
              <w:t xml:space="preserve"> from </w:t>
            </w:r>
            <w:proofErr w:type="spellStart"/>
            <w:r w:rsidRPr="006E5339">
              <w:t>Würsig,B</w:t>
            </w:r>
            <w:proofErr w:type="spellEnd"/>
            <w:r w:rsidRPr="006E5339">
              <w:t xml:space="preserve">., </w:t>
            </w:r>
            <w:proofErr w:type="spellStart"/>
            <w:r w:rsidRPr="006E5339">
              <w:t>Thewissen</w:t>
            </w:r>
            <w:proofErr w:type="spellEnd"/>
            <w:r w:rsidRPr="006E5339">
              <w:t>, J.G.M. and Kovacs, K.M. Editors (2018) "</w:t>
            </w:r>
            <w:proofErr w:type="spellStart"/>
            <w:r w:rsidRPr="006E5339">
              <w:t>Encyclopedia</w:t>
            </w:r>
            <w:proofErr w:type="spellEnd"/>
            <w:r w:rsidRPr="006E5339">
              <w:t xml:space="preserve"> of Marine Mammals", 3rd ed. Academic Press, </w:t>
            </w:r>
            <w:r w:rsidRPr="006E5339">
              <w:lastRenderedPageBreak/>
              <w:t>Elsevier: San Diego. CA. Copyright Elsevier: http://www.elsevier.com</w:t>
            </w:r>
          </w:p>
        </w:tc>
      </w:tr>
      <w:tr w:rsidR="006E5339" w:rsidRPr="00A910E7" w14:paraId="47EDBAA8" w14:textId="77777777" w:rsidTr="00301201">
        <w:tc>
          <w:tcPr>
            <w:tcW w:w="9628" w:type="dxa"/>
            <w:gridSpan w:val="2"/>
          </w:tcPr>
          <w:p w14:paraId="130F2AE8" w14:textId="7F1E4488" w:rsidR="006E5339" w:rsidRPr="00A910E7" w:rsidRDefault="006E5339" w:rsidP="00301201">
            <w:pPr>
              <w:rPr>
                <w:b/>
                <w:bCs/>
              </w:rPr>
            </w:pPr>
            <w:r>
              <w:rPr>
                <w:b/>
                <w:bCs/>
              </w:rPr>
              <w:lastRenderedPageBreak/>
              <w:t xml:space="preserve">Figure 8. </w:t>
            </w:r>
            <w:r w:rsidRPr="006E5339">
              <w:t>Killer whale spatial distribution.</w:t>
            </w:r>
            <w:r w:rsidR="007F7CDC">
              <w:t xml:space="preserve"> </w:t>
            </w:r>
            <w:r w:rsidR="007F7CDC" w:rsidRPr="007F7CDC">
              <w:t>From NAMMCO and IWC.</w:t>
            </w:r>
          </w:p>
        </w:tc>
      </w:tr>
    </w:tbl>
    <w:p w14:paraId="1E63BE7E" w14:textId="77777777" w:rsidR="006E5339" w:rsidRDefault="006E5339" w:rsidP="00C542AB"/>
    <w:p w14:paraId="522C58F5" w14:textId="77777777" w:rsidR="004D56EE" w:rsidRDefault="004D56EE" w:rsidP="00C542AB"/>
    <w:tbl>
      <w:tblPr>
        <w:tblStyle w:val="TableGrid"/>
        <w:tblW w:w="0" w:type="auto"/>
        <w:tblLook w:val="04A0" w:firstRow="1" w:lastRow="0" w:firstColumn="1" w:lastColumn="0" w:noHBand="0" w:noVBand="1"/>
      </w:tblPr>
      <w:tblGrid>
        <w:gridCol w:w="4815"/>
        <w:gridCol w:w="4813"/>
      </w:tblGrid>
      <w:tr w:rsidR="00EA615E" w:rsidRPr="00E83D7E" w14:paraId="55F3DCDC" w14:textId="5206C434" w:rsidTr="00EC24EC">
        <w:tc>
          <w:tcPr>
            <w:tcW w:w="4815" w:type="dxa"/>
          </w:tcPr>
          <w:p w14:paraId="7CC4B235" w14:textId="6CDA1A41" w:rsidR="0002191F" w:rsidRDefault="0002191F" w:rsidP="0002191F">
            <w:pPr>
              <w:rPr>
                <w:b/>
                <w:bCs/>
              </w:rPr>
            </w:pPr>
          </w:p>
          <w:p w14:paraId="0D642533" w14:textId="4605B73A" w:rsidR="00EA615E" w:rsidRPr="00E83D7E" w:rsidRDefault="00EA615E" w:rsidP="0002191F">
            <w:pPr>
              <w:rPr>
                <w:b/>
                <w:bCs/>
              </w:rPr>
            </w:pPr>
            <w:r>
              <w:rPr>
                <w:b/>
                <w:bCs/>
                <w:noProof/>
              </w:rPr>
              <w:drawing>
                <wp:inline distT="0" distB="0" distL="0" distR="0" wp14:anchorId="64530755" wp14:editId="36020236">
                  <wp:extent cx="2646381" cy="1871074"/>
                  <wp:effectExtent l="0" t="0" r="1905" b="0"/>
                  <wp:docPr id="21" name="Picture 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Map&#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70373" cy="1888037"/>
                          </a:xfrm>
                          <a:prstGeom prst="rect">
                            <a:avLst/>
                          </a:prstGeom>
                          <a:noFill/>
                        </pic:spPr>
                      </pic:pic>
                    </a:graphicData>
                  </a:graphic>
                </wp:inline>
              </w:drawing>
            </w:r>
          </w:p>
        </w:tc>
        <w:tc>
          <w:tcPr>
            <w:tcW w:w="4813" w:type="dxa"/>
          </w:tcPr>
          <w:p w14:paraId="6960AB12" w14:textId="41D432CA" w:rsidR="0002191F" w:rsidRDefault="0002191F" w:rsidP="0002191F">
            <w:pPr>
              <w:rPr>
                <w:b/>
                <w:bCs/>
                <w:noProof/>
              </w:rPr>
            </w:pPr>
          </w:p>
          <w:p w14:paraId="68A1D7AE" w14:textId="6084CA0B" w:rsidR="00EA615E" w:rsidRDefault="00EA615E" w:rsidP="0002191F">
            <w:pPr>
              <w:rPr>
                <w:b/>
                <w:bCs/>
                <w:noProof/>
              </w:rPr>
            </w:pPr>
            <w:r>
              <w:rPr>
                <w:b/>
                <w:bCs/>
                <w:noProof/>
              </w:rPr>
              <w:drawing>
                <wp:inline distT="0" distB="0" distL="0" distR="0" wp14:anchorId="6147F983" wp14:editId="3E9FD1C5">
                  <wp:extent cx="2583180" cy="1894501"/>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00411" cy="1907138"/>
                          </a:xfrm>
                          <a:prstGeom prst="rect">
                            <a:avLst/>
                          </a:prstGeom>
                          <a:noFill/>
                        </pic:spPr>
                      </pic:pic>
                    </a:graphicData>
                  </a:graphic>
                </wp:inline>
              </w:drawing>
            </w:r>
          </w:p>
        </w:tc>
      </w:tr>
      <w:tr w:rsidR="00EA615E" w:rsidRPr="00E83D7E" w14:paraId="7759C05F" w14:textId="0A9D2C6B" w:rsidTr="00EC24EC">
        <w:tc>
          <w:tcPr>
            <w:tcW w:w="4815" w:type="dxa"/>
          </w:tcPr>
          <w:p w14:paraId="1ACAF65B" w14:textId="77777777" w:rsidR="0002191F" w:rsidRPr="00E83D7E" w:rsidRDefault="0002191F" w:rsidP="0002191F">
            <w:pPr>
              <w:rPr>
                <w:b/>
                <w:bCs/>
              </w:rPr>
            </w:pPr>
            <w:r>
              <w:rPr>
                <w:b/>
                <w:bCs/>
              </w:rPr>
              <w:t xml:space="preserve">Harbour porpoise </w:t>
            </w:r>
            <w:r w:rsidRPr="00E83D7E">
              <w:rPr>
                <w:b/>
                <w:bCs/>
              </w:rPr>
              <w:t>Sightings during all NASS</w:t>
            </w:r>
          </w:p>
        </w:tc>
        <w:tc>
          <w:tcPr>
            <w:tcW w:w="4813" w:type="dxa"/>
          </w:tcPr>
          <w:p w14:paraId="4ABDB533" w14:textId="13F7D639" w:rsidR="0002191F" w:rsidRDefault="00EA615E" w:rsidP="0002191F">
            <w:pPr>
              <w:rPr>
                <w:b/>
                <w:bCs/>
              </w:rPr>
            </w:pPr>
            <w:r w:rsidRPr="00EA615E">
              <w:rPr>
                <w:b/>
                <w:bCs/>
              </w:rPr>
              <w:t>Harbour porpoises are found in coastal waters of the sub-Arctic and predominantly cool temperate waters of the North Atlantic and North Pacific, although they are also found off the north west coast of Africa. They frequently visit shallow bays, estuaries, tidal channels less than 200m in depth and have also been known to swim up rivers. The majority of sightings occur within 10km of land and, although there is some evidence of north-south migrations, most harbour porpoise appear to have preferred habitat encompassing a broad area.</w:t>
            </w:r>
            <w:r>
              <w:rPr>
                <w:b/>
                <w:bCs/>
              </w:rPr>
              <w:t xml:space="preserve"> </w:t>
            </w:r>
            <w:r w:rsidRPr="00EA615E">
              <w:rPr>
                <w:b/>
                <w:bCs/>
              </w:rPr>
              <w:t>https://uk.whales.org/</w:t>
            </w:r>
          </w:p>
        </w:tc>
      </w:tr>
      <w:tr w:rsidR="006E5339" w:rsidRPr="00E83D7E" w14:paraId="7B4C6CD8" w14:textId="77777777" w:rsidTr="00D4624F">
        <w:tc>
          <w:tcPr>
            <w:tcW w:w="9628" w:type="dxa"/>
            <w:gridSpan w:val="2"/>
          </w:tcPr>
          <w:p w14:paraId="1E63F220" w14:textId="473805E0" w:rsidR="006E5339" w:rsidRPr="00EA615E" w:rsidRDefault="006E5339" w:rsidP="0002191F">
            <w:pPr>
              <w:rPr>
                <w:b/>
                <w:bCs/>
              </w:rPr>
            </w:pPr>
            <w:r>
              <w:rPr>
                <w:b/>
                <w:bCs/>
              </w:rPr>
              <w:t xml:space="preserve">Figure 9. </w:t>
            </w:r>
            <w:r w:rsidRPr="006E5339">
              <w:t>Harbour porpoise spatial distribution.</w:t>
            </w:r>
            <w:r>
              <w:rPr>
                <w:b/>
                <w:bCs/>
              </w:rPr>
              <w:t xml:space="preserve"> </w:t>
            </w:r>
            <w:r w:rsidR="007F7CDC" w:rsidRPr="007F7CDC">
              <w:t>From NAMMCO and IWC.</w:t>
            </w:r>
          </w:p>
        </w:tc>
      </w:tr>
    </w:tbl>
    <w:p w14:paraId="11B6D104" w14:textId="77777777" w:rsidR="00D67AFB" w:rsidRDefault="00D67AFB" w:rsidP="00C542AB">
      <w:pPr>
        <w:rPr>
          <w:b/>
          <w:bCs/>
        </w:rPr>
      </w:pPr>
    </w:p>
    <w:p w14:paraId="3B7FAA77" w14:textId="77777777" w:rsidR="00D67AFB" w:rsidRDefault="00D67AFB" w:rsidP="00C542AB">
      <w:pPr>
        <w:rPr>
          <w:b/>
          <w:bCs/>
        </w:rPr>
      </w:pPr>
    </w:p>
    <w:p w14:paraId="502CF9E0" w14:textId="4D9448F9" w:rsidR="00D67AFB" w:rsidRPr="00FA70E5" w:rsidRDefault="00FA70E5" w:rsidP="00C542AB">
      <w:pPr>
        <w:rPr>
          <w:b/>
          <w:bCs/>
          <w:i/>
          <w:iCs/>
        </w:rPr>
      </w:pPr>
      <w:r w:rsidRPr="001E2BD6">
        <w:rPr>
          <w:b/>
          <w:bCs/>
        </w:rPr>
        <w:t xml:space="preserve">Trend in stock </w:t>
      </w:r>
      <w:r w:rsidR="006C41AC">
        <w:rPr>
          <w:b/>
          <w:bCs/>
        </w:rPr>
        <w:t xml:space="preserve">size </w:t>
      </w:r>
      <w:r w:rsidRPr="001E2BD6">
        <w:rPr>
          <w:b/>
          <w:bCs/>
        </w:rPr>
        <w:t>over time</w:t>
      </w:r>
      <w:r w:rsidRPr="00FA70E5">
        <w:rPr>
          <w:b/>
          <w:bCs/>
          <w:i/>
          <w:iCs/>
        </w:rPr>
        <w:t xml:space="preserve">. </w:t>
      </w:r>
    </w:p>
    <w:p w14:paraId="4E09835E" w14:textId="77777777" w:rsidR="00D67AFB" w:rsidRDefault="00D67AFB" w:rsidP="00C542AB">
      <w:pPr>
        <w:rPr>
          <w:b/>
          <w:bCs/>
        </w:rPr>
      </w:pPr>
    </w:p>
    <w:p w14:paraId="7A223FD0" w14:textId="687AE754" w:rsidR="005625C3" w:rsidRPr="001E2BD6" w:rsidRDefault="005625C3" w:rsidP="00C542AB">
      <w:pPr>
        <w:rPr>
          <w:i/>
          <w:iCs/>
        </w:rPr>
      </w:pPr>
      <w:r w:rsidRPr="001E2BD6">
        <w:rPr>
          <w:i/>
          <w:iCs/>
        </w:rPr>
        <w:t>Fin whales</w:t>
      </w:r>
    </w:p>
    <w:p w14:paraId="416635E6" w14:textId="57807E22" w:rsidR="00F63AF1" w:rsidRPr="00F63AF1" w:rsidRDefault="00F63AF1" w:rsidP="00F63AF1">
      <w:r w:rsidRPr="00F63AF1">
        <w:t>Fin whale numbers, uncorrected for perception and availability biases, increased from 3,600 (CV=0.18) in 1987 to 14,000 (CV=0.18) in 2001, a rate of increase of 10% p.a. (95% CI: 6% – 14%) (</w:t>
      </w:r>
      <w:proofErr w:type="spellStart"/>
      <w:r w:rsidRPr="00F63AF1">
        <w:t>Víkingsson</w:t>
      </w:r>
      <w:proofErr w:type="spellEnd"/>
      <w:r w:rsidRPr="00F63AF1">
        <w:t xml:space="preserve"> </w:t>
      </w:r>
      <w:r w:rsidRPr="007F7CDC">
        <w:rPr>
          <w:i/>
          <w:iCs/>
        </w:rPr>
        <w:t>et al.</w:t>
      </w:r>
      <w:r w:rsidRPr="00F63AF1">
        <w:t xml:space="preserve"> 2009). Abundance increased still further in 2007 and especially 2015, when it was about twice that estimated in </w:t>
      </w:r>
      <w:r w:rsidRPr="00F63AF1">
        <w:lastRenderedPageBreak/>
        <w:t>2001, suggesting that the fin whale stock is still growing in this area. There was no detectable trend in abundance in other areas covered by the NASS over the period 1987-2001 (</w:t>
      </w:r>
      <w:proofErr w:type="spellStart"/>
      <w:r w:rsidRPr="00F63AF1">
        <w:t>Víkingsson</w:t>
      </w:r>
      <w:proofErr w:type="spellEnd"/>
      <w:r w:rsidRPr="00F63AF1">
        <w:t xml:space="preserve"> </w:t>
      </w:r>
      <w:r w:rsidRPr="007F7CDC">
        <w:rPr>
          <w:i/>
          <w:iCs/>
        </w:rPr>
        <w:t>et al.</w:t>
      </w:r>
      <w:r w:rsidRPr="00F63AF1">
        <w:t xml:space="preserve"> 2009).</w:t>
      </w:r>
    </w:p>
    <w:p w14:paraId="092E8F8D" w14:textId="77777777" w:rsidR="00F63AF1" w:rsidRPr="00F63AF1" w:rsidRDefault="00F63AF1" w:rsidP="00F63AF1"/>
    <w:p w14:paraId="5C3A47FC" w14:textId="5A45C347" w:rsidR="005625C3" w:rsidRDefault="00F63AF1" w:rsidP="00F63AF1">
      <w:r w:rsidRPr="00F63AF1">
        <w:t>The area west of Iceland includes the former whaling grounds and recovery from whaling certainly explains part of the increase in abundance. However, modelling of the population (IWC 2016) suggests that it should already have largely recovered from whaling. Other factors (including immigration from other areas and changes in carrying capacity) may therefore also be involved.</w:t>
      </w:r>
    </w:p>
    <w:p w14:paraId="51085CA7" w14:textId="77777777" w:rsidR="00F63AF1" w:rsidRDefault="00F63AF1" w:rsidP="00F63AF1"/>
    <w:p w14:paraId="2552A73D" w14:textId="6C6FCB2C" w:rsidR="00F63AF1" w:rsidRDefault="00F63AF1" w:rsidP="00F63AF1">
      <w:r w:rsidRPr="00F63AF1">
        <w:rPr>
          <w:b/>
          <w:bCs/>
        </w:rPr>
        <w:t>Table 3</w:t>
      </w:r>
      <w:r>
        <w:t xml:space="preserve">. Fin whales at Est Greenland and Iceland. From NAMMCO, </w:t>
      </w:r>
      <w:r w:rsidRPr="00F63AF1">
        <w:t>https://nammco.no/fin-whale/#1475844082849-433d5060-e5a9</w:t>
      </w:r>
      <w:r>
        <w:t>.</w:t>
      </w:r>
    </w:p>
    <w:tbl>
      <w:tblPr>
        <w:tblW w:w="10206" w:type="dxa"/>
        <w:tblCellMar>
          <w:left w:w="0" w:type="dxa"/>
          <w:right w:w="0" w:type="dxa"/>
        </w:tblCellMar>
        <w:tblLook w:val="04A0" w:firstRow="1" w:lastRow="0" w:firstColumn="1" w:lastColumn="0" w:noHBand="0" w:noVBand="1"/>
      </w:tblPr>
      <w:tblGrid>
        <w:gridCol w:w="1226"/>
        <w:gridCol w:w="1644"/>
        <w:gridCol w:w="3084"/>
        <w:gridCol w:w="4252"/>
      </w:tblGrid>
      <w:tr w:rsidR="00F63AF1" w:rsidRPr="00F63AF1" w14:paraId="6DB16449" w14:textId="77777777" w:rsidTr="00301201">
        <w:trPr>
          <w:tblHeader/>
        </w:trPr>
        <w:tc>
          <w:tcPr>
            <w:tcW w:w="0" w:type="auto"/>
            <w:tcBorders>
              <w:top w:val="nil"/>
              <w:left w:val="nil"/>
              <w:bottom w:val="single" w:sz="6" w:space="0" w:color="DDDDDD"/>
              <w:right w:val="nil"/>
            </w:tcBorders>
            <w:shd w:val="clear" w:color="auto" w:fill="ABD8CA"/>
            <w:tcMar>
              <w:top w:w="120" w:type="dxa"/>
              <w:left w:w="120" w:type="dxa"/>
              <w:bottom w:w="120" w:type="dxa"/>
              <w:right w:w="120" w:type="dxa"/>
            </w:tcMar>
            <w:vAlign w:val="center"/>
            <w:hideMark/>
          </w:tcPr>
          <w:p w14:paraId="1A6AE8E7" w14:textId="77777777" w:rsidR="00F63AF1" w:rsidRPr="00F63AF1" w:rsidRDefault="00F63AF1" w:rsidP="00196998">
            <w:pPr>
              <w:spacing w:after="0"/>
              <w:rPr>
                <w:b/>
                <w:bCs/>
                <w:kern w:val="2"/>
                <w14:ligatures w14:val="standardContextual"/>
              </w:rPr>
            </w:pPr>
            <w:r w:rsidRPr="00F63AF1">
              <w:rPr>
                <w:b/>
                <w:bCs/>
                <w:kern w:val="2"/>
                <w14:ligatures w14:val="standardContextual"/>
              </w:rPr>
              <w:t>YEAR</w:t>
            </w:r>
          </w:p>
        </w:tc>
        <w:tc>
          <w:tcPr>
            <w:tcW w:w="0" w:type="auto"/>
            <w:tcBorders>
              <w:top w:val="nil"/>
              <w:left w:val="nil"/>
              <w:bottom w:val="single" w:sz="6" w:space="0" w:color="DDDDDD"/>
              <w:right w:val="nil"/>
            </w:tcBorders>
            <w:shd w:val="clear" w:color="auto" w:fill="ABD8CA"/>
            <w:tcMar>
              <w:top w:w="120" w:type="dxa"/>
              <w:left w:w="120" w:type="dxa"/>
              <w:bottom w:w="120" w:type="dxa"/>
              <w:right w:w="120" w:type="dxa"/>
            </w:tcMar>
            <w:vAlign w:val="center"/>
            <w:hideMark/>
          </w:tcPr>
          <w:p w14:paraId="1275B798" w14:textId="77777777" w:rsidR="00F63AF1" w:rsidRPr="00F63AF1" w:rsidRDefault="00F63AF1" w:rsidP="00196998">
            <w:pPr>
              <w:spacing w:after="0"/>
              <w:rPr>
                <w:b/>
                <w:bCs/>
                <w:kern w:val="2"/>
                <w14:ligatures w14:val="standardContextual"/>
              </w:rPr>
            </w:pPr>
            <w:r w:rsidRPr="00F63AF1">
              <w:rPr>
                <w:b/>
                <w:bCs/>
                <w:kern w:val="2"/>
                <w14:ligatures w14:val="standardContextual"/>
              </w:rPr>
              <w:t>REGION</w:t>
            </w:r>
          </w:p>
        </w:tc>
        <w:tc>
          <w:tcPr>
            <w:tcW w:w="3084" w:type="dxa"/>
            <w:tcBorders>
              <w:top w:val="nil"/>
              <w:left w:val="nil"/>
              <w:bottom w:val="single" w:sz="6" w:space="0" w:color="DDDDDD"/>
              <w:right w:val="nil"/>
            </w:tcBorders>
            <w:shd w:val="clear" w:color="auto" w:fill="ABD8CA"/>
            <w:tcMar>
              <w:top w:w="120" w:type="dxa"/>
              <w:left w:w="120" w:type="dxa"/>
              <w:bottom w:w="120" w:type="dxa"/>
              <w:right w:w="120" w:type="dxa"/>
            </w:tcMar>
            <w:vAlign w:val="center"/>
            <w:hideMark/>
          </w:tcPr>
          <w:p w14:paraId="4910F53F" w14:textId="77777777" w:rsidR="00F63AF1" w:rsidRPr="00F63AF1" w:rsidRDefault="00F63AF1" w:rsidP="00196998">
            <w:pPr>
              <w:spacing w:after="0"/>
              <w:rPr>
                <w:b/>
                <w:bCs/>
                <w:kern w:val="2"/>
                <w14:ligatures w14:val="standardContextual"/>
              </w:rPr>
            </w:pPr>
            <w:r w:rsidRPr="00F63AF1">
              <w:rPr>
                <w:b/>
                <w:bCs/>
                <w:kern w:val="2"/>
                <w14:ligatures w14:val="standardContextual"/>
              </w:rPr>
              <w:t>ABUNDANCE ESTIMATE</w:t>
            </w:r>
          </w:p>
        </w:tc>
        <w:tc>
          <w:tcPr>
            <w:tcW w:w="4252" w:type="dxa"/>
            <w:tcBorders>
              <w:top w:val="nil"/>
              <w:left w:val="nil"/>
              <w:bottom w:val="single" w:sz="6" w:space="0" w:color="DDDDDD"/>
              <w:right w:val="nil"/>
            </w:tcBorders>
            <w:shd w:val="clear" w:color="auto" w:fill="ABD8CA"/>
            <w:tcMar>
              <w:top w:w="120" w:type="dxa"/>
              <w:left w:w="120" w:type="dxa"/>
              <w:bottom w:w="120" w:type="dxa"/>
              <w:right w:w="120" w:type="dxa"/>
            </w:tcMar>
            <w:vAlign w:val="center"/>
            <w:hideMark/>
          </w:tcPr>
          <w:p w14:paraId="2A9D401D" w14:textId="77777777" w:rsidR="00F63AF1" w:rsidRPr="00F63AF1" w:rsidRDefault="00F63AF1" w:rsidP="00196998">
            <w:pPr>
              <w:spacing w:after="0"/>
              <w:rPr>
                <w:b/>
                <w:bCs/>
                <w:kern w:val="2"/>
                <w14:ligatures w14:val="standardContextual"/>
              </w:rPr>
            </w:pPr>
            <w:r w:rsidRPr="00F63AF1">
              <w:rPr>
                <w:b/>
                <w:bCs/>
                <w:kern w:val="2"/>
                <w14:ligatures w14:val="standardContextual"/>
              </w:rPr>
              <w:t>95% CONFIDENCE INTERVAL</w:t>
            </w:r>
          </w:p>
        </w:tc>
      </w:tr>
      <w:tr w:rsidR="00F63AF1" w:rsidRPr="00F63AF1" w14:paraId="3360D5F3" w14:textId="77777777" w:rsidTr="00196998">
        <w:trPr>
          <w:trHeight w:val="284"/>
        </w:trPr>
        <w:tc>
          <w:tcPr>
            <w:tcW w:w="0" w:type="auto"/>
            <w:tcBorders>
              <w:top w:val="nil"/>
              <w:left w:val="nil"/>
              <w:bottom w:val="nil"/>
              <w:right w:val="nil"/>
            </w:tcBorders>
            <w:tcMar>
              <w:top w:w="120" w:type="dxa"/>
              <w:left w:w="120" w:type="dxa"/>
              <w:bottom w:w="120" w:type="dxa"/>
              <w:right w:w="120" w:type="dxa"/>
            </w:tcMar>
            <w:hideMark/>
          </w:tcPr>
          <w:p w14:paraId="496136DC" w14:textId="77777777" w:rsidR="00F63AF1" w:rsidRPr="00F63AF1" w:rsidRDefault="00F63AF1" w:rsidP="00196998">
            <w:pPr>
              <w:spacing w:after="0"/>
              <w:rPr>
                <w:kern w:val="2"/>
                <w14:ligatures w14:val="standardContextual"/>
              </w:rPr>
            </w:pPr>
            <w:r w:rsidRPr="00F63AF1">
              <w:rPr>
                <w:kern w:val="2"/>
                <w14:ligatures w14:val="standardContextual"/>
              </w:rPr>
              <w:t>1987</w:t>
            </w:r>
          </w:p>
        </w:tc>
        <w:tc>
          <w:tcPr>
            <w:tcW w:w="0" w:type="auto"/>
            <w:tcBorders>
              <w:top w:val="nil"/>
              <w:left w:val="nil"/>
              <w:bottom w:val="nil"/>
              <w:right w:val="nil"/>
            </w:tcBorders>
            <w:tcMar>
              <w:top w:w="120" w:type="dxa"/>
              <w:left w:w="120" w:type="dxa"/>
              <w:bottom w:w="120" w:type="dxa"/>
              <w:right w:w="120" w:type="dxa"/>
            </w:tcMar>
            <w:hideMark/>
          </w:tcPr>
          <w:p w14:paraId="318276F5" w14:textId="77777777" w:rsidR="00F63AF1" w:rsidRPr="00F63AF1" w:rsidRDefault="00F63AF1" w:rsidP="00196998">
            <w:pPr>
              <w:spacing w:after="0"/>
              <w:rPr>
                <w:kern w:val="2"/>
                <w14:ligatures w14:val="standardContextual"/>
              </w:rPr>
            </w:pPr>
            <w:r w:rsidRPr="00F63AF1">
              <w:rPr>
                <w:kern w:val="2"/>
                <w14:ligatures w14:val="standardContextual"/>
              </w:rPr>
              <w:t>WI+EG</w:t>
            </w:r>
          </w:p>
        </w:tc>
        <w:tc>
          <w:tcPr>
            <w:tcW w:w="3084" w:type="dxa"/>
            <w:tcBorders>
              <w:top w:val="nil"/>
              <w:left w:val="nil"/>
              <w:bottom w:val="nil"/>
              <w:right w:val="nil"/>
            </w:tcBorders>
            <w:tcMar>
              <w:top w:w="120" w:type="dxa"/>
              <w:left w:w="120" w:type="dxa"/>
              <w:bottom w:w="120" w:type="dxa"/>
              <w:right w:w="120" w:type="dxa"/>
            </w:tcMar>
            <w:hideMark/>
          </w:tcPr>
          <w:p w14:paraId="751A5118" w14:textId="77777777" w:rsidR="00F63AF1" w:rsidRPr="00F63AF1" w:rsidRDefault="00F63AF1" w:rsidP="00196998">
            <w:pPr>
              <w:spacing w:after="0"/>
              <w:rPr>
                <w:kern w:val="2"/>
                <w14:ligatures w14:val="standardContextual"/>
              </w:rPr>
            </w:pPr>
            <w:r w:rsidRPr="00F63AF1">
              <w:rPr>
                <w:kern w:val="2"/>
                <w14:ligatures w14:val="standardContextual"/>
              </w:rPr>
              <w:t>3,607</w:t>
            </w:r>
          </w:p>
        </w:tc>
        <w:tc>
          <w:tcPr>
            <w:tcW w:w="4252" w:type="dxa"/>
            <w:tcBorders>
              <w:top w:val="nil"/>
              <w:left w:val="nil"/>
              <w:bottom w:val="nil"/>
              <w:right w:val="nil"/>
            </w:tcBorders>
            <w:tcMar>
              <w:top w:w="120" w:type="dxa"/>
              <w:left w:w="120" w:type="dxa"/>
              <w:bottom w:w="120" w:type="dxa"/>
              <w:right w:w="120" w:type="dxa"/>
            </w:tcMar>
            <w:hideMark/>
          </w:tcPr>
          <w:p w14:paraId="0DA5F97D" w14:textId="77777777" w:rsidR="00F63AF1" w:rsidRPr="00F63AF1" w:rsidRDefault="00F63AF1" w:rsidP="00196998">
            <w:pPr>
              <w:spacing w:after="0"/>
              <w:rPr>
                <w:kern w:val="2"/>
                <w14:ligatures w14:val="standardContextual"/>
              </w:rPr>
            </w:pPr>
            <w:r w:rsidRPr="00F63AF1">
              <w:rPr>
                <w:kern w:val="2"/>
                <w14:ligatures w14:val="standardContextual"/>
              </w:rPr>
              <w:t>2,537 - 5,132</w:t>
            </w:r>
          </w:p>
        </w:tc>
      </w:tr>
      <w:tr w:rsidR="00F63AF1" w:rsidRPr="00F63AF1" w14:paraId="02670590" w14:textId="77777777" w:rsidTr="00196998">
        <w:trPr>
          <w:trHeight w:val="284"/>
        </w:trPr>
        <w:tc>
          <w:tcPr>
            <w:tcW w:w="0" w:type="auto"/>
            <w:tcBorders>
              <w:top w:val="single" w:sz="6" w:space="0" w:color="DDDDDD"/>
              <w:left w:val="nil"/>
              <w:bottom w:val="nil"/>
              <w:right w:val="nil"/>
            </w:tcBorders>
            <w:tcMar>
              <w:top w:w="120" w:type="dxa"/>
              <w:left w:w="120" w:type="dxa"/>
              <w:bottom w:w="120" w:type="dxa"/>
              <w:right w:w="120" w:type="dxa"/>
            </w:tcMar>
            <w:hideMark/>
          </w:tcPr>
          <w:p w14:paraId="24FCA531" w14:textId="77777777" w:rsidR="00F63AF1" w:rsidRPr="00F63AF1" w:rsidRDefault="00F63AF1" w:rsidP="00196998">
            <w:pPr>
              <w:spacing w:after="0"/>
              <w:rPr>
                <w:kern w:val="2"/>
                <w14:ligatures w14:val="standardContextual"/>
              </w:rPr>
            </w:pPr>
            <w:r w:rsidRPr="00F63AF1">
              <w:rPr>
                <w:kern w:val="2"/>
                <w14:ligatures w14:val="standardContextual"/>
              </w:rPr>
              <w:t>1989</w:t>
            </w:r>
          </w:p>
        </w:tc>
        <w:tc>
          <w:tcPr>
            <w:tcW w:w="0" w:type="auto"/>
            <w:tcBorders>
              <w:top w:val="single" w:sz="6" w:space="0" w:color="DDDDDD"/>
              <w:left w:val="nil"/>
              <w:bottom w:val="nil"/>
              <w:right w:val="nil"/>
            </w:tcBorders>
            <w:tcMar>
              <w:top w:w="120" w:type="dxa"/>
              <w:left w:w="120" w:type="dxa"/>
              <w:bottom w:w="120" w:type="dxa"/>
              <w:right w:w="120" w:type="dxa"/>
            </w:tcMar>
            <w:hideMark/>
          </w:tcPr>
          <w:p w14:paraId="0B5A2172" w14:textId="77777777" w:rsidR="00F63AF1" w:rsidRPr="00F63AF1" w:rsidRDefault="00F63AF1" w:rsidP="00196998">
            <w:pPr>
              <w:spacing w:after="0"/>
              <w:rPr>
                <w:kern w:val="2"/>
                <w14:ligatures w14:val="standardContextual"/>
              </w:rPr>
            </w:pPr>
            <w:r w:rsidRPr="00F63AF1">
              <w:rPr>
                <w:kern w:val="2"/>
                <w14:ligatures w14:val="standardContextual"/>
              </w:rPr>
              <w:t>WI+EG</w:t>
            </w:r>
          </w:p>
        </w:tc>
        <w:tc>
          <w:tcPr>
            <w:tcW w:w="3084" w:type="dxa"/>
            <w:tcBorders>
              <w:top w:val="single" w:sz="6" w:space="0" w:color="DDDDDD"/>
              <w:left w:val="nil"/>
              <w:bottom w:val="nil"/>
              <w:right w:val="nil"/>
            </w:tcBorders>
            <w:tcMar>
              <w:top w:w="120" w:type="dxa"/>
              <w:left w:w="120" w:type="dxa"/>
              <w:bottom w:w="120" w:type="dxa"/>
              <w:right w:w="120" w:type="dxa"/>
            </w:tcMar>
            <w:hideMark/>
          </w:tcPr>
          <w:p w14:paraId="1BC1C152" w14:textId="77777777" w:rsidR="00F63AF1" w:rsidRPr="00F63AF1" w:rsidRDefault="00F63AF1" w:rsidP="00196998">
            <w:pPr>
              <w:spacing w:after="0"/>
              <w:rPr>
                <w:kern w:val="2"/>
                <w14:ligatures w14:val="standardContextual"/>
              </w:rPr>
            </w:pPr>
            <w:r w:rsidRPr="00F63AF1">
              <w:rPr>
                <w:kern w:val="2"/>
                <w14:ligatures w14:val="standardContextual"/>
              </w:rPr>
              <w:t>6,006</w:t>
            </w:r>
          </w:p>
        </w:tc>
        <w:tc>
          <w:tcPr>
            <w:tcW w:w="4252" w:type="dxa"/>
            <w:tcBorders>
              <w:top w:val="single" w:sz="6" w:space="0" w:color="DDDDDD"/>
              <w:left w:val="nil"/>
              <w:bottom w:val="nil"/>
              <w:right w:val="nil"/>
            </w:tcBorders>
            <w:tcMar>
              <w:top w:w="120" w:type="dxa"/>
              <w:left w:w="120" w:type="dxa"/>
              <w:bottom w:w="120" w:type="dxa"/>
              <w:right w:w="120" w:type="dxa"/>
            </w:tcMar>
            <w:hideMark/>
          </w:tcPr>
          <w:p w14:paraId="73223563" w14:textId="77777777" w:rsidR="00F63AF1" w:rsidRPr="00F63AF1" w:rsidRDefault="00F63AF1" w:rsidP="00196998">
            <w:pPr>
              <w:spacing w:after="0"/>
              <w:rPr>
                <w:kern w:val="2"/>
                <w14:ligatures w14:val="standardContextual"/>
              </w:rPr>
            </w:pPr>
            <w:r w:rsidRPr="00F63AF1">
              <w:rPr>
                <w:kern w:val="2"/>
                <w14:ligatures w14:val="standardContextual"/>
              </w:rPr>
              <w:t>3,468 - 10,401</w:t>
            </w:r>
          </w:p>
        </w:tc>
      </w:tr>
      <w:tr w:rsidR="00F63AF1" w:rsidRPr="00F63AF1" w14:paraId="3E9B8D3C" w14:textId="77777777" w:rsidTr="00196998">
        <w:trPr>
          <w:trHeight w:val="284"/>
        </w:trPr>
        <w:tc>
          <w:tcPr>
            <w:tcW w:w="0" w:type="auto"/>
            <w:tcBorders>
              <w:top w:val="single" w:sz="6" w:space="0" w:color="DDDDDD"/>
              <w:left w:val="nil"/>
              <w:bottom w:val="nil"/>
              <w:right w:val="nil"/>
            </w:tcBorders>
            <w:tcMar>
              <w:top w:w="120" w:type="dxa"/>
              <w:left w:w="120" w:type="dxa"/>
              <w:bottom w:w="120" w:type="dxa"/>
              <w:right w:w="120" w:type="dxa"/>
            </w:tcMar>
            <w:hideMark/>
          </w:tcPr>
          <w:p w14:paraId="454D1CAF" w14:textId="77777777" w:rsidR="00F63AF1" w:rsidRPr="00F63AF1" w:rsidRDefault="00F63AF1" w:rsidP="00196998">
            <w:pPr>
              <w:spacing w:after="0"/>
              <w:rPr>
                <w:kern w:val="2"/>
                <w14:ligatures w14:val="standardContextual"/>
              </w:rPr>
            </w:pPr>
            <w:r w:rsidRPr="00F63AF1">
              <w:rPr>
                <w:kern w:val="2"/>
                <w14:ligatures w14:val="standardContextual"/>
              </w:rPr>
              <w:t>1995</w:t>
            </w:r>
          </w:p>
        </w:tc>
        <w:tc>
          <w:tcPr>
            <w:tcW w:w="0" w:type="auto"/>
            <w:tcBorders>
              <w:top w:val="single" w:sz="6" w:space="0" w:color="DDDDDD"/>
              <w:left w:val="nil"/>
              <w:bottom w:val="nil"/>
              <w:right w:val="nil"/>
            </w:tcBorders>
            <w:tcMar>
              <w:top w:w="120" w:type="dxa"/>
              <w:left w:w="120" w:type="dxa"/>
              <w:bottom w:w="120" w:type="dxa"/>
              <w:right w:w="120" w:type="dxa"/>
            </w:tcMar>
            <w:hideMark/>
          </w:tcPr>
          <w:p w14:paraId="3A524855" w14:textId="77777777" w:rsidR="00F63AF1" w:rsidRPr="00F63AF1" w:rsidRDefault="00F63AF1" w:rsidP="00196998">
            <w:pPr>
              <w:spacing w:after="0"/>
              <w:rPr>
                <w:kern w:val="2"/>
                <w14:ligatures w14:val="standardContextual"/>
              </w:rPr>
            </w:pPr>
            <w:r w:rsidRPr="00F63AF1">
              <w:rPr>
                <w:kern w:val="2"/>
                <w14:ligatures w14:val="standardContextual"/>
              </w:rPr>
              <w:t>WI+EG</w:t>
            </w:r>
          </w:p>
        </w:tc>
        <w:tc>
          <w:tcPr>
            <w:tcW w:w="3084" w:type="dxa"/>
            <w:tcBorders>
              <w:top w:val="single" w:sz="6" w:space="0" w:color="DDDDDD"/>
              <w:left w:val="nil"/>
              <w:bottom w:val="nil"/>
              <w:right w:val="nil"/>
            </w:tcBorders>
            <w:tcMar>
              <w:top w:w="120" w:type="dxa"/>
              <w:left w:w="120" w:type="dxa"/>
              <w:bottom w:w="120" w:type="dxa"/>
              <w:right w:w="120" w:type="dxa"/>
            </w:tcMar>
            <w:hideMark/>
          </w:tcPr>
          <w:p w14:paraId="01ADBECC" w14:textId="77777777" w:rsidR="00F63AF1" w:rsidRPr="00F63AF1" w:rsidRDefault="00F63AF1" w:rsidP="00196998">
            <w:pPr>
              <w:spacing w:after="0"/>
              <w:rPr>
                <w:kern w:val="2"/>
                <w14:ligatures w14:val="standardContextual"/>
              </w:rPr>
            </w:pPr>
            <w:r w:rsidRPr="00F63AF1">
              <w:rPr>
                <w:kern w:val="2"/>
                <w14:ligatures w14:val="standardContextual"/>
              </w:rPr>
              <w:t>13,726</w:t>
            </w:r>
          </w:p>
        </w:tc>
        <w:tc>
          <w:tcPr>
            <w:tcW w:w="4252" w:type="dxa"/>
            <w:tcBorders>
              <w:top w:val="single" w:sz="6" w:space="0" w:color="DDDDDD"/>
              <w:left w:val="nil"/>
              <w:bottom w:val="nil"/>
              <w:right w:val="nil"/>
            </w:tcBorders>
            <w:tcMar>
              <w:top w:w="120" w:type="dxa"/>
              <w:left w:w="120" w:type="dxa"/>
              <w:bottom w:w="120" w:type="dxa"/>
              <w:right w:w="120" w:type="dxa"/>
            </w:tcMar>
            <w:hideMark/>
          </w:tcPr>
          <w:p w14:paraId="017D4A64" w14:textId="77777777" w:rsidR="00F63AF1" w:rsidRPr="00F63AF1" w:rsidRDefault="00F63AF1" w:rsidP="00196998">
            <w:pPr>
              <w:spacing w:after="0"/>
              <w:rPr>
                <w:kern w:val="2"/>
                <w14:ligatures w14:val="standardContextual"/>
              </w:rPr>
            </w:pPr>
            <w:r w:rsidRPr="00F63AF1">
              <w:rPr>
                <w:kern w:val="2"/>
                <w14:ligatures w14:val="standardContextual"/>
              </w:rPr>
              <w:t>8,667 - 21,740</w:t>
            </w:r>
          </w:p>
        </w:tc>
      </w:tr>
      <w:tr w:rsidR="00F63AF1" w:rsidRPr="00F63AF1" w14:paraId="4B59422F" w14:textId="77777777" w:rsidTr="00196998">
        <w:trPr>
          <w:trHeight w:val="284"/>
        </w:trPr>
        <w:tc>
          <w:tcPr>
            <w:tcW w:w="0" w:type="auto"/>
            <w:tcBorders>
              <w:top w:val="single" w:sz="6" w:space="0" w:color="DDDDDD"/>
              <w:left w:val="nil"/>
              <w:bottom w:val="nil"/>
              <w:right w:val="nil"/>
            </w:tcBorders>
            <w:tcMar>
              <w:top w:w="120" w:type="dxa"/>
              <w:left w:w="120" w:type="dxa"/>
              <w:bottom w:w="120" w:type="dxa"/>
              <w:right w:w="120" w:type="dxa"/>
            </w:tcMar>
            <w:hideMark/>
          </w:tcPr>
          <w:p w14:paraId="70861C64" w14:textId="77777777" w:rsidR="00F63AF1" w:rsidRPr="00F63AF1" w:rsidRDefault="00F63AF1" w:rsidP="00196998">
            <w:pPr>
              <w:spacing w:after="0"/>
              <w:rPr>
                <w:kern w:val="2"/>
                <w14:ligatures w14:val="standardContextual"/>
              </w:rPr>
            </w:pPr>
            <w:r w:rsidRPr="00F63AF1">
              <w:rPr>
                <w:kern w:val="2"/>
                <w14:ligatures w14:val="standardContextual"/>
              </w:rPr>
              <w:t>2001</w:t>
            </w:r>
          </w:p>
        </w:tc>
        <w:tc>
          <w:tcPr>
            <w:tcW w:w="0" w:type="auto"/>
            <w:tcBorders>
              <w:top w:val="single" w:sz="6" w:space="0" w:color="DDDDDD"/>
              <w:left w:val="nil"/>
              <w:bottom w:val="nil"/>
              <w:right w:val="nil"/>
            </w:tcBorders>
            <w:tcMar>
              <w:top w:w="120" w:type="dxa"/>
              <w:left w:w="120" w:type="dxa"/>
              <w:bottom w:w="120" w:type="dxa"/>
              <w:right w:w="120" w:type="dxa"/>
            </w:tcMar>
            <w:hideMark/>
          </w:tcPr>
          <w:p w14:paraId="63FC211C" w14:textId="77777777" w:rsidR="00F63AF1" w:rsidRPr="00F63AF1" w:rsidRDefault="00F63AF1" w:rsidP="00196998">
            <w:pPr>
              <w:spacing w:after="0"/>
              <w:rPr>
                <w:kern w:val="2"/>
                <w14:ligatures w14:val="standardContextual"/>
              </w:rPr>
            </w:pPr>
            <w:r w:rsidRPr="00F63AF1">
              <w:rPr>
                <w:kern w:val="2"/>
                <w14:ligatures w14:val="standardContextual"/>
              </w:rPr>
              <w:t>WI+EG</w:t>
            </w:r>
          </w:p>
        </w:tc>
        <w:tc>
          <w:tcPr>
            <w:tcW w:w="3084" w:type="dxa"/>
            <w:tcBorders>
              <w:top w:val="single" w:sz="6" w:space="0" w:color="DDDDDD"/>
              <w:left w:val="nil"/>
              <w:bottom w:val="nil"/>
              <w:right w:val="nil"/>
            </w:tcBorders>
            <w:tcMar>
              <w:top w:w="120" w:type="dxa"/>
              <w:left w:w="120" w:type="dxa"/>
              <w:bottom w:w="120" w:type="dxa"/>
              <w:right w:w="120" w:type="dxa"/>
            </w:tcMar>
            <w:hideMark/>
          </w:tcPr>
          <w:p w14:paraId="5A8F27E1" w14:textId="77777777" w:rsidR="00F63AF1" w:rsidRPr="00F63AF1" w:rsidRDefault="00F63AF1" w:rsidP="00196998">
            <w:pPr>
              <w:spacing w:after="0"/>
              <w:rPr>
                <w:kern w:val="2"/>
                <w14:ligatures w14:val="standardContextual"/>
              </w:rPr>
            </w:pPr>
            <w:r w:rsidRPr="00F63AF1">
              <w:rPr>
                <w:kern w:val="2"/>
                <w14:ligatures w14:val="standardContextual"/>
              </w:rPr>
              <w:t>14,021</w:t>
            </w:r>
          </w:p>
        </w:tc>
        <w:tc>
          <w:tcPr>
            <w:tcW w:w="4252" w:type="dxa"/>
            <w:tcBorders>
              <w:top w:val="single" w:sz="6" w:space="0" w:color="DDDDDD"/>
              <w:left w:val="nil"/>
              <w:bottom w:val="nil"/>
              <w:right w:val="nil"/>
            </w:tcBorders>
            <w:tcMar>
              <w:top w:w="120" w:type="dxa"/>
              <w:left w:w="120" w:type="dxa"/>
              <w:bottom w:w="120" w:type="dxa"/>
              <w:right w:w="120" w:type="dxa"/>
            </w:tcMar>
            <w:hideMark/>
          </w:tcPr>
          <w:p w14:paraId="40F9D47B" w14:textId="77777777" w:rsidR="00F63AF1" w:rsidRPr="00F63AF1" w:rsidRDefault="00F63AF1" w:rsidP="00196998">
            <w:pPr>
              <w:spacing w:after="0"/>
              <w:rPr>
                <w:kern w:val="2"/>
                <w14:ligatures w14:val="standardContextual"/>
              </w:rPr>
            </w:pPr>
            <w:r w:rsidRPr="00F63AF1">
              <w:rPr>
                <w:kern w:val="2"/>
                <w14:ligatures w14:val="standardContextual"/>
              </w:rPr>
              <w:t>9,550 - 20,586</w:t>
            </w:r>
          </w:p>
        </w:tc>
      </w:tr>
      <w:tr w:rsidR="00F63AF1" w:rsidRPr="00F63AF1" w14:paraId="352E23F9" w14:textId="77777777" w:rsidTr="00196998">
        <w:trPr>
          <w:trHeight w:val="284"/>
        </w:trPr>
        <w:tc>
          <w:tcPr>
            <w:tcW w:w="0" w:type="auto"/>
            <w:tcBorders>
              <w:top w:val="single" w:sz="6" w:space="0" w:color="DDDDDD"/>
              <w:left w:val="nil"/>
              <w:bottom w:val="nil"/>
              <w:right w:val="nil"/>
            </w:tcBorders>
            <w:tcMar>
              <w:top w:w="120" w:type="dxa"/>
              <w:left w:w="120" w:type="dxa"/>
              <w:bottom w:w="120" w:type="dxa"/>
              <w:right w:w="120" w:type="dxa"/>
            </w:tcMar>
            <w:hideMark/>
          </w:tcPr>
          <w:p w14:paraId="3A4CD433" w14:textId="77777777" w:rsidR="00F63AF1" w:rsidRPr="00F63AF1" w:rsidRDefault="00F63AF1" w:rsidP="00196998">
            <w:pPr>
              <w:spacing w:after="0"/>
              <w:rPr>
                <w:kern w:val="2"/>
                <w14:ligatures w14:val="standardContextual"/>
              </w:rPr>
            </w:pPr>
            <w:r w:rsidRPr="00F63AF1">
              <w:rPr>
                <w:kern w:val="2"/>
                <w14:ligatures w14:val="standardContextual"/>
              </w:rPr>
              <w:t>2007</w:t>
            </w:r>
          </w:p>
        </w:tc>
        <w:tc>
          <w:tcPr>
            <w:tcW w:w="0" w:type="auto"/>
            <w:tcBorders>
              <w:top w:val="single" w:sz="6" w:space="0" w:color="DDDDDD"/>
              <w:left w:val="nil"/>
              <w:bottom w:val="nil"/>
              <w:right w:val="nil"/>
            </w:tcBorders>
            <w:tcMar>
              <w:top w:w="120" w:type="dxa"/>
              <w:left w:w="120" w:type="dxa"/>
              <w:bottom w:w="120" w:type="dxa"/>
              <w:right w:w="120" w:type="dxa"/>
            </w:tcMar>
            <w:hideMark/>
          </w:tcPr>
          <w:p w14:paraId="30757B2D" w14:textId="77777777" w:rsidR="00F63AF1" w:rsidRPr="00F63AF1" w:rsidRDefault="00F63AF1" w:rsidP="00196998">
            <w:pPr>
              <w:spacing w:after="0"/>
              <w:rPr>
                <w:kern w:val="2"/>
                <w14:ligatures w14:val="standardContextual"/>
              </w:rPr>
            </w:pPr>
            <w:r w:rsidRPr="00F63AF1">
              <w:rPr>
                <w:kern w:val="2"/>
                <w14:ligatures w14:val="standardContextual"/>
              </w:rPr>
              <w:t>WI+EG</w:t>
            </w:r>
          </w:p>
        </w:tc>
        <w:tc>
          <w:tcPr>
            <w:tcW w:w="3084" w:type="dxa"/>
            <w:tcBorders>
              <w:top w:val="single" w:sz="6" w:space="0" w:color="DDDDDD"/>
              <w:left w:val="nil"/>
              <w:bottom w:val="nil"/>
              <w:right w:val="nil"/>
            </w:tcBorders>
            <w:tcMar>
              <w:top w:w="120" w:type="dxa"/>
              <w:left w:w="120" w:type="dxa"/>
              <w:bottom w:w="120" w:type="dxa"/>
              <w:right w:w="120" w:type="dxa"/>
            </w:tcMar>
            <w:hideMark/>
          </w:tcPr>
          <w:p w14:paraId="26032E3D" w14:textId="77777777" w:rsidR="00F63AF1" w:rsidRPr="00F63AF1" w:rsidRDefault="00F63AF1" w:rsidP="00196998">
            <w:pPr>
              <w:spacing w:after="0"/>
              <w:rPr>
                <w:kern w:val="2"/>
                <w14:ligatures w14:val="standardContextual"/>
              </w:rPr>
            </w:pPr>
            <w:r w:rsidRPr="00F63AF1">
              <w:rPr>
                <w:kern w:val="2"/>
                <w14:ligatures w14:val="standardContextual"/>
              </w:rPr>
              <w:t>16,991</w:t>
            </w:r>
          </w:p>
        </w:tc>
        <w:tc>
          <w:tcPr>
            <w:tcW w:w="4252" w:type="dxa"/>
            <w:tcBorders>
              <w:top w:val="single" w:sz="6" w:space="0" w:color="DDDDDD"/>
              <w:left w:val="nil"/>
              <w:bottom w:val="nil"/>
              <w:right w:val="nil"/>
            </w:tcBorders>
            <w:tcMar>
              <w:top w:w="120" w:type="dxa"/>
              <w:left w:w="120" w:type="dxa"/>
              <w:bottom w:w="120" w:type="dxa"/>
              <w:right w:w="120" w:type="dxa"/>
            </w:tcMar>
            <w:hideMark/>
          </w:tcPr>
          <w:p w14:paraId="6311992C" w14:textId="77777777" w:rsidR="00F63AF1" w:rsidRPr="00F63AF1" w:rsidRDefault="00F63AF1" w:rsidP="00196998">
            <w:pPr>
              <w:spacing w:after="0"/>
              <w:rPr>
                <w:kern w:val="2"/>
                <w14:ligatures w14:val="standardContextual"/>
              </w:rPr>
            </w:pPr>
            <w:r w:rsidRPr="00F63AF1">
              <w:rPr>
                <w:kern w:val="2"/>
                <w14:ligatures w14:val="standardContextual"/>
              </w:rPr>
              <w:t>11,735 - 24,600</w:t>
            </w:r>
          </w:p>
        </w:tc>
      </w:tr>
      <w:tr w:rsidR="00F63AF1" w:rsidRPr="00F63AF1" w14:paraId="1FC8E4F4" w14:textId="77777777" w:rsidTr="00196998">
        <w:trPr>
          <w:trHeight w:val="284"/>
        </w:trPr>
        <w:tc>
          <w:tcPr>
            <w:tcW w:w="0" w:type="auto"/>
            <w:tcBorders>
              <w:top w:val="single" w:sz="6" w:space="0" w:color="DDDDDD"/>
              <w:left w:val="nil"/>
              <w:bottom w:val="nil"/>
              <w:right w:val="nil"/>
            </w:tcBorders>
            <w:tcMar>
              <w:top w:w="120" w:type="dxa"/>
              <w:left w:w="120" w:type="dxa"/>
              <w:bottom w:w="120" w:type="dxa"/>
              <w:right w:w="120" w:type="dxa"/>
            </w:tcMar>
            <w:hideMark/>
          </w:tcPr>
          <w:p w14:paraId="4626CC04" w14:textId="77777777" w:rsidR="00F63AF1" w:rsidRPr="00F63AF1" w:rsidRDefault="00F63AF1" w:rsidP="00196998">
            <w:pPr>
              <w:spacing w:after="0"/>
              <w:rPr>
                <w:kern w:val="2"/>
                <w14:ligatures w14:val="standardContextual"/>
              </w:rPr>
            </w:pPr>
            <w:r w:rsidRPr="00F63AF1">
              <w:rPr>
                <w:kern w:val="2"/>
                <w14:ligatures w14:val="standardContextual"/>
              </w:rPr>
              <w:t>2015</w:t>
            </w:r>
          </w:p>
        </w:tc>
        <w:tc>
          <w:tcPr>
            <w:tcW w:w="0" w:type="auto"/>
            <w:tcBorders>
              <w:top w:val="single" w:sz="6" w:space="0" w:color="DDDDDD"/>
              <w:left w:val="nil"/>
              <w:bottom w:val="nil"/>
              <w:right w:val="nil"/>
            </w:tcBorders>
            <w:tcMar>
              <w:top w:w="120" w:type="dxa"/>
              <w:left w:w="120" w:type="dxa"/>
              <w:bottom w:w="120" w:type="dxa"/>
              <w:right w:w="120" w:type="dxa"/>
            </w:tcMar>
            <w:hideMark/>
          </w:tcPr>
          <w:p w14:paraId="596D9702" w14:textId="77777777" w:rsidR="00F63AF1" w:rsidRPr="00F63AF1" w:rsidRDefault="00F63AF1" w:rsidP="00196998">
            <w:pPr>
              <w:spacing w:after="0"/>
              <w:rPr>
                <w:kern w:val="2"/>
                <w14:ligatures w14:val="standardContextual"/>
              </w:rPr>
            </w:pPr>
            <w:r w:rsidRPr="00F63AF1">
              <w:rPr>
                <w:kern w:val="2"/>
                <w14:ligatures w14:val="standardContextual"/>
              </w:rPr>
              <w:t>WI+EG</w:t>
            </w:r>
          </w:p>
        </w:tc>
        <w:tc>
          <w:tcPr>
            <w:tcW w:w="3084" w:type="dxa"/>
            <w:tcBorders>
              <w:top w:val="single" w:sz="6" w:space="0" w:color="DDDDDD"/>
              <w:left w:val="nil"/>
              <w:bottom w:val="nil"/>
              <w:right w:val="nil"/>
            </w:tcBorders>
            <w:tcMar>
              <w:top w:w="120" w:type="dxa"/>
              <w:left w:w="120" w:type="dxa"/>
              <w:bottom w:w="120" w:type="dxa"/>
              <w:right w:w="120" w:type="dxa"/>
            </w:tcMar>
            <w:hideMark/>
          </w:tcPr>
          <w:p w14:paraId="5C471499" w14:textId="77777777" w:rsidR="00F63AF1" w:rsidRPr="00F63AF1" w:rsidRDefault="00F63AF1" w:rsidP="00196998">
            <w:pPr>
              <w:spacing w:after="0"/>
              <w:rPr>
                <w:kern w:val="2"/>
                <w14:ligatures w14:val="standardContextual"/>
              </w:rPr>
            </w:pPr>
            <w:r w:rsidRPr="00F63AF1">
              <w:rPr>
                <w:kern w:val="2"/>
                <w14:ligatures w14:val="standardContextual"/>
              </w:rPr>
              <w:t>27,843</w:t>
            </w:r>
          </w:p>
        </w:tc>
        <w:tc>
          <w:tcPr>
            <w:tcW w:w="4252" w:type="dxa"/>
            <w:tcBorders>
              <w:top w:val="single" w:sz="6" w:space="0" w:color="DDDDDD"/>
              <w:left w:val="nil"/>
              <w:bottom w:val="nil"/>
              <w:right w:val="nil"/>
            </w:tcBorders>
            <w:tcMar>
              <w:top w:w="120" w:type="dxa"/>
              <w:left w:w="120" w:type="dxa"/>
              <w:bottom w:w="120" w:type="dxa"/>
              <w:right w:w="120" w:type="dxa"/>
            </w:tcMar>
            <w:hideMark/>
          </w:tcPr>
          <w:p w14:paraId="2DEE0880" w14:textId="77777777" w:rsidR="00F63AF1" w:rsidRPr="00F63AF1" w:rsidRDefault="00F63AF1" w:rsidP="00196998">
            <w:pPr>
              <w:spacing w:after="0"/>
              <w:rPr>
                <w:kern w:val="2"/>
                <w14:ligatures w14:val="standardContextual"/>
              </w:rPr>
            </w:pPr>
            <w:r w:rsidRPr="00F63AF1">
              <w:rPr>
                <w:kern w:val="2"/>
                <w14:ligatures w14:val="standardContextual"/>
              </w:rPr>
              <w:t>19,693 - 39,366</w:t>
            </w:r>
          </w:p>
        </w:tc>
      </w:tr>
    </w:tbl>
    <w:p w14:paraId="1C2E78E4" w14:textId="77777777" w:rsidR="00F63AF1" w:rsidRDefault="00F63AF1" w:rsidP="00F63AF1"/>
    <w:p w14:paraId="3D5CAC96" w14:textId="77777777" w:rsidR="00F63AF1" w:rsidRDefault="00F63AF1">
      <w:pPr>
        <w:rPr>
          <w:b/>
          <w:bCs/>
        </w:rPr>
      </w:pPr>
    </w:p>
    <w:p w14:paraId="6BF04D7E" w14:textId="54F9B2AF" w:rsidR="005625C3" w:rsidRPr="001E2BD6" w:rsidRDefault="005625C3">
      <w:pPr>
        <w:rPr>
          <w:i/>
          <w:iCs/>
        </w:rPr>
      </w:pPr>
      <w:r w:rsidRPr="001E2BD6">
        <w:rPr>
          <w:i/>
          <w:iCs/>
        </w:rPr>
        <w:t>Minke whales</w:t>
      </w:r>
    </w:p>
    <w:p w14:paraId="4355A56F" w14:textId="4879A803" w:rsidR="00AB0612" w:rsidRDefault="00967326">
      <w:r w:rsidRPr="00967326">
        <w:t xml:space="preserve">The abundance of minke whale have been relatively stable since the 1980s (Table 4). </w:t>
      </w:r>
    </w:p>
    <w:p w14:paraId="255BEB41" w14:textId="77777777" w:rsidR="00A82856" w:rsidRPr="00967326" w:rsidRDefault="00A82856"/>
    <w:p w14:paraId="07DB8A88" w14:textId="2DFD1D69" w:rsidR="00AB0612" w:rsidRPr="00967326" w:rsidRDefault="00967326" w:rsidP="00967326">
      <w:r>
        <w:rPr>
          <w:b/>
          <w:bCs/>
        </w:rPr>
        <w:t xml:space="preserve">Table 4. </w:t>
      </w:r>
      <w:r w:rsidR="00994E0C" w:rsidRPr="00967326">
        <w:t>Abundance of minke whale in the north</w:t>
      </w:r>
      <w:r w:rsidR="00994E0C">
        <w:t>east</w:t>
      </w:r>
      <w:r w:rsidR="00994E0C" w:rsidRPr="00967326">
        <w:t xml:space="preserve"> </w:t>
      </w:r>
      <w:r w:rsidR="00994E0C">
        <w:t>A</w:t>
      </w:r>
      <w:r w:rsidR="00994E0C" w:rsidRPr="00967326">
        <w:t>tlantic</w:t>
      </w:r>
      <w:r w:rsidRPr="00967326">
        <w:t xml:space="preserve">. </w:t>
      </w:r>
      <w:r w:rsidRPr="00967326">
        <w:t>For definition of stocks see the above map; CMA, IWC Central Medium Area, with putative stock boundaries; A/S, aerial or shipboard surveys; Bias, correction bias: - a, availability and p, perception; CI, confidence interval. CA, Canada; GL, Greenland.</w:t>
      </w:r>
      <w:r>
        <w:t xml:space="preserve"> From: </w:t>
      </w:r>
      <w:r w:rsidRPr="00967326">
        <w:t>https://nammco.no/common-minke-whale/#1475844082849-433d5060-e5a9</w:t>
      </w:r>
      <w:r>
        <w:t>.</w:t>
      </w:r>
    </w:p>
    <w:p w14:paraId="45F9F8F7" w14:textId="21D0F68C" w:rsidR="00AB0612" w:rsidRDefault="00AB0612">
      <w:pPr>
        <w:rPr>
          <w:b/>
          <w:bCs/>
        </w:rPr>
      </w:pPr>
    </w:p>
    <w:tbl>
      <w:tblPr>
        <w:tblW w:w="6831" w:type="dxa"/>
        <w:tblCellMar>
          <w:left w:w="0" w:type="dxa"/>
          <w:right w:w="0" w:type="dxa"/>
        </w:tblCellMar>
        <w:tblLook w:val="04A0" w:firstRow="1" w:lastRow="0" w:firstColumn="1" w:lastColumn="0" w:noHBand="0" w:noVBand="1"/>
      </w:tblPr>
      <w:tblGrid>
        <w:gridCol w:w="2106"/>
        <w:gridCol w:w="704"/>
        <w:gridCol w:w="1221"/>
        <w:gridCol w:w="816"/>
        <w:gridCol w:w="850"/>
        <w:gridCol w:w="1134"/>
      </w:tblGrid>
      <w:tr w:rsidR="00C128C1" w:rsidRPr="00967326" w14:paraId="70B29A50" w14:textId="77777777" w:rsidTr="00C128C1">
        <w:trPr>
          <w:tblHeader/>
        </w:trPr>
        <w:tc>
          <w:tcPr>
            <w:tcW w:w="2106" w:type="dxa"/>
            <w:tcBorders>
              <w:top w:val="nil"/>
              <w:left w:val="nil"/>
              <w:bottom w:val="single" w:sz="6" w:space="0" w:color="DDDDDD"/>
              <w:right w:val="nil"/>
            </w:tcBorders>
            <w:shd w:val="clear" w:color="auto" w:fill="ABD8CA"/>
            <w:tcMar>
              <w:top w:w="120" w:type="dxa"/>
              <w:left w:w="120" w:type="dxa"/>
              <w:bottom w:w="120" w:type="dxa"/>
              <w:right w:w="120" w:type="dxa"/>
            </w:tcMar>
            <w:vAlign w:val="center"/>
            <w:hideMark/>
          </w:tcPr>
          <w:p w14:paraId="6DA35199" w14:textId="77777777" w:rsidR="00C128C1" w:rsidRPr="00967326" w:rsidRDefault="00C128C1" w:rsidP="00967326">
            <w:pPr>
              <w:spacing w:after="0" w:line="240" w:lineRule="auto"/>
              <w:rPr>
                <w:rFonts w:ascii="Abel" w:eastAsia="Times New Roman" w:hAnsi="Abel" w:cs="Times New Roman"/>
                <w:b/>
                <w:bCs/>
                <w:caps/>
                <w:color w:val="888888"/>
                <w:sz w:val="21"/>
                <w:szCs w:val="21"/>
                <w:lang w:eastAsia="en-GB"/>
              </w:rPr>
            </w:pPr>
            <w:r w:rsidRPr="00967326">
              <w:rPr>
                <w:rFonts w:ascii="Abel" w:eastAsia="Times New Roman" w:hAnsi="Abel" w:cs="Times New Roman"/>
                <w:b/>
                <w:bCs/>
                <w:caps/>
                <w:color w:val="888888"/>
                <w:sz w:val="21"/>
                <w:szCs w:val="21"/>
                <w:lang w:eastAsia="en-GB"/>
              </w:rPr>
              <w:t>YEAR/SURVEY</w:t>
            </w:r>
          </w:p>
        </w:tc>
        <w:tc>
          <w:tcPr>
            <w:tcW w:w="704" w:type="dxa"/>
            <w:tcBorders>
              <w:top w:val="nil"/>
              <w:left w:val="nil"/>
              <w:bottom w:val="single" w:sz="6" w:space="0" w:color="DDDDDD"/>
              <w:right w:val="nil"/>
            </w:tcBorders>
            <w:shd w:val="clear" w:color="auto" w:fill="ABD8CA"/>
            <w:tcMar>
              <w:top w:w="120" w:type="dxa"/>
              <w:left w:w="120" w:type="dxa"/>
              <w:bottom w:w="120" w:type="dxa"/>
              <w:right w:w="120" w:type="dxa"/>
            </w:tcMar>
            <w:vAlign w:val="center"/>
            <w:hideMark/>
          </w:tcPr>
          <w:p w14:paraId="2D7E55FE" w14:textId="77777777" w:rsidR="00C128C1" w:rsidRPr="00967326" w:rsidRDefault="00C128C1" w:rsidP="00967326">
            <w:pPr>
              <w:spacing w:after="0" w:line="240" w:lineRule="auto"/>
              <w:rPr>
                <w:rFonts w:ascii="Abel" w:eastAsia="Times New Roman" w:hAnsi="Abel" w:cs="Times New Roman"/>
                <w:b/>
                <w:bCs/>
                <w:caps/>
                <w:color w:val="888888"/>
                <w:sz w:val="21"/>
                <w:szCs w:val="21"/>
                <w:lang w:eastAsia="en-GB"/>
              </w:rPr>
            </w:pPr>
            <w:r w:rsidRPr="00967326">
              <w:rPr>
                <w:rFonts w:ascii="Abel" w:eastAsia="Times New Roman" w:hAnsi="Abel" w:cs="Times New Roman"/>
                <w:b/>
                <w:bCs/>
                <w:caps/>
                <w:color w:val="888888"/>
                <w:sz w:val="21"/>
                <w:szCs w:val="21"/>
                <w:lang w:eastAsia="en-GB"/>
              </w:rPr>
              <w:t>A/S</w:t>
            </w:r>
          </w:p>
        </w:tc>
        <w:tc>
          <w:tcPr>
            <w:tcW w:w="1221" w:type="dxa"/>
            <w:tcBorders>
              <w:top w:val="nil"/>
              <w:left w:val="nil"/>
              <w:bottom w:val="single" w:sz="6" w:space="0" w:color="DDDDDD"/>
              <w:right w:val="nil"/>
            </w:tcBorders>
            <w:shd w:val="clear" w:color="auto" w:fill="ABD8CA"/>
            <w:tcMar>
              <w:top w:w="120" w:type="dxa"/>
              <w:left w:w="120" w:type="dxa"/>
              <w:bottom w:w="120" w:type="dxa"/>
              <w:right w:w="120" w:type="dxa"/>
            </w:tcMar>
            <w:vAlign w:val="center"/>
            <w:hideMark/>
          </w:tcPr>
          <w:p w14:paraId="62B5AB0B" w14:textId="77777777" w:rsidR="00C128C1" w:rsidRPr="00967326" w:rsidRDefault="00C128C1" w:rsidP="00967326">
            <w:pPr>
              <w:spacing w:after="0" w:line="240" w:lineRule="auto"/>
              <w:rPr>
                <w:rFonts w:ascii="Abel" w:eastAsia="Times New Roman" w:hAnsi="Abel" w:cs="Times New Roman"/>
                <w:b/>
                <w:bCs/>
                <w:caps/>
                <w:color w:val="888888"/>
                <w:sz w:val="21"/>
                <w:szCs w:val="21"/>
                <w:lang w:eastAsia="en-GB"/>
              </w:rPr>
            </w:pPr>
            <w:r w:rsidRPr="00967326">
              <w:rPr>
                <w:rFonts w:ascii="Abel" w:eastAsia="Times New Roman" w:hAnsi="Abel" w:cs="Times New Roman"/>
                <w:b/>
                <w:bCs/>
                <w:caps/>
                <w:color w:val="888888"/>
                <w:sz w:val="21"/>
                <w:szCs w:val="21"/>
                <w:lang w:eastAsia="en-GB"/>
              </w:rPr>
              <w:t>ABUNDANCE</w:t>
            </w:r>
          </w:p>
        </w:tc>
        <w:tc>
          <w:tcPr>
            <w:tcW w:w="816" w:type="dxa"/>
            <w:tcBorders>
              <w:top w:val="nil"/>
              <w:left w:val="nil"/>
              <w:bottom w:val="single" w:sz="6" w:space="0" w:color="DDDDDD"/>
              <w:right w:val="nil"/>
            </w:tcBorders>
            <w:shd w:val="clear" w:color="auto" w:fill="ABD8CA"/>
            <w:tcMar>
              <w:top w:w="120" w:type="dxa"/>
              <w:left w:w="120" w:type="dxa"/>
              <w:bottom w:w="120" w:type="dxa"/>
              <w:right w:w="120" w:type="dxa"/>
            </w:tcMar>
            <w:vAlign w:val="center"/>
            <w:hideMark/>
          </w:tcPr>
          <w:p w14:paraId="6E6FA08E" w14:textId="77777777" w:rsidR="00C128C1" w:rsidRPr="00967326" w:rsidRDefault="00C128C1" w:rsidP="00967326">
            <w:pPr>
              <w:spacing w:after="0" w:line="240" w:lineRule="auto"/>
              <w:rPr>
                <w:rFonts w:ascii="Abel" w:eastAsia="Times New Roman" w:hAnsi="Abel" w:cs="Times New Roman"/>
                <w:b/>
                <w:bCs/>
                <w:caps/>
                <w:color w:val="888888"/>
                <w:sz w:val="21"/>
                <w:szCs w:val="21"/>
                <w:lang w:eastAsia="en-GB"/>
              </w:rPr>
            </w:pPr>
            <w:r w:rsidRPr="00967326">
              <w:rPr>
                <w:rFonts w:ascii="Abel" w:eastAsia="Times New Roman" w:hAnsi="Abel" w:cs="Times New Roman"/>
                <w:b/>
                <w:bCs/>
                <w:caps/>
                <w:color w:val="888888"/>
                <w:sz w:val="21"/>
                <w:szCs w:val="21"/>
                <w:lang w:eastAsia="en-GB"/>
              </w:rPr>
              <w:t>BIAS</w:t>
            </w:r>
          </w:p>
        </w:tc>
        <w:tc>
          <w:tcPr>
            <w:tcW w:w="850" w:type="dxa"/>
            <w:tcBorders>
              <w:top w:val="nil"/>
              <w:left w:val="nil"/>
              <w:bottom w:val="single" w:sz="6" w:space="0" w:color="DDDDDD"/>
              <w:right w:val="nil"/>
            </w:tcBorders>
            <w:shd w:val="clear" w:color="auto" w:fill="ABD8CA"/>
            <w:tcMar>
              <w:top w:w="120" w:type="dxa"/>
              <w:left w:w="120" w:type="dxa"/>
              <w:bottom w:w="120" w:type="dxa"/>
              <w:right w:w="120" w:type="dxa"/>
            </w:tcMar>
            <w:vAlign w:val="center"/>
            <w:hideMark/>
          </w:tcPr>
          <w:p w14:paraId="4B6F6670" w14:textId="77777777" w:rsidR="00C128C1" w:rsidRPr="00967326" w:rsidRDefault="00C128C1" w:rsidP="00967326">
            <w:pPr>
              <w:spacing w:after="0" w:line="240" w:lineRule="auto"/>
              <w:rPr>
                <w:rFonts w:ascii="Abel" w:eastAsia="Times New Roman" w:hAnsi="Abel" w:cs="Times New Roman"/>
                <w:b/>
                <w:bCs/>
                <w:caps/>
                <w:color w:val="888888"/>
                <w:sz w:val="21"/>
                <w:szCs w:val="21"/>
                <w:lang w:eastAsia="en-GB"/>
              </w:rPr>
            </w:pPr>
            <w:r w:rsidRPr="00967326">
              <w:rPr>
                <w:rFonts w:ascii="Abel" w:eastAsia="Times New Roman" w:hAnsi="Abel" w:cs="Times New Roman"/>
                <w:b/>
                <w:bCs/>
                <w:caps/>
                <w:color w:val="888888"/>
                <w:sz w:val="21"/>
                <w:szCs w:val="21"/>
                <w:lang w:eastAsia="en-GB"/>
              </w:rPr>
              <w:t>CV</w:t>
            </w:r>
          </w:p>
        </w:tc>
        <w:tc>
          <w:tcPr>
            <w:tcW w:w="1134" w:type="dxa"/>
            <w:tcBorders>
              <w:top w:val="nil"/>
              <w:left w:val="nil"/>
              <w:bottom w:val="single" w:sz="6" w:space="0" w:color="DDDDDD"/>
              <w:right w:val="nil"/>
            </w:tcBorders>
            <w:shd w:val="clear" w:color="auto" w:fill="ABD8CA"/>
            <w:tcMar>
              <w:top w:w="120" w:type="dxa"/>
              <w:left w:w="120" w:type="dxa"/>
              <w:bottom w:w="120" w:type="dxa"/>
              <w:right w:w="120" w:type="dxa"/>
            </w:tcMar>
            <w:vAlign w:val="center"/>
            <w:hideMark/>
          </w:tcPr>
          <w:p w14:paraId="0BB9C476" w14:textId="77777777" w:rsidR="00C128C1" w:rsidRPr="00967326" w:rsidRDefault="00C128C1" w:rsidP="00967326">
            <w:pPr>
              <w:spacing w:after="0" w:line="240" w:lineRule="auto"/>
              <w:rPr>
                <w:rFonts w:ascii="Abel" w:eastAsia="Times New Roman" w:hAnsi="Abel" w:cs="Times New Roman"/>
                <w:b/>
                <w:bCs/>
                <w:caps/>
                <w:color w:val="888888"/>
                <w:sz w:val="21"/>
                <w:szCs w:val="21"/>
                <w:lang w:eastAsia="en-GB"/>
              </w:rPr>
            </w:pPr>
            <w:r w:rsidRPr="00967326">
              <w:rPr>
                <w:rFonts w:ascii="Abel" w:eastAsia="Times New Roman" w:hAnsi="Abel" w:cs="Times New Roman"/>
                <w:b/>
                <w:bCs/>
                <w:caps/>
                <w:color w:val="888888"/>
                <w:sz w:val="21"/>
                <w:szCs w:val="21"/>
                <w:lang w:eastAsia="en-GB"/>
              </w:rPr>
              <w:t>95% CI</w:t>
            </w:r>
          </w:p>
        </w:tc>
      </w:tr>
      <w:tr w:rsidR="00C128C1" w:rsidRPr="00967326" w14:paraId="3548CD11" w14:textId="77777777" w:rsidTr="00C128C1">
        <w:tc>
          <w:tcPr>
            <w:tcW w:w="2106" w:type="dxa"/>
            <w:tcBorders>
              <w:top w:val="single" w:sz="6" w:space="0" w:color="DDDDDD"/>
              <w:left w:val="nil"/>
              <w:bottom w:val="nil"/>
              <w:right w:val="nil"/>
            </w:tcBorders>
            <w:shd w:val="clear" w:color="auto" w:fill="C7E4DC"/>
            <w:tcMar>
              <w:top w:w="120" w:type="dxa"/>
              <w:left w:w="120" w:type="dxa"/>
              <w:bottom w:w="120" w:type="dxa"/>
              <w:right w:w="120" w:type="dxa"/>
            </w:tcMar>
            <w:hideMark/>
          </w:tcPr>
          <w:p w14:paraId="4963A16D" w14:textId="77777777" w:rsidR="00C128C1" w:rsidRPr="00967326" w:rsidRDefault="00C128C1" w:rsidP="00967326">
            <w:pPr>
              <w:spacing w:after="0" w:line="240" w:lineRule="auto"/>
              <w:rPr>
                <w:rFonts w:ascii="Abel" w:eastAsia="Times New Roman" w:hAnsi="Abel" w:cs="Times New Roman"/>
                <w:color w:val="888888"/>
                <w:sz w:val="24"/>
                <w:szCs w:val="24"/>
                <w:lang w:eastAsia="en-GB"/>
              </w:rPr>
            </w:pPr>
            <w:r w:rsidRPr="00967326">
              <w:rPr>
                <w:rFonts w:ascii="Abel" w:eastAsia="Times New Roman" w:hAnsi="Abel" w:cs="Times New Roman"/>
                <w:color w:val="888888"/>
                <w:sz w:val="24"/>
                <w:szCs w:val="24"/>
                <w:lang w:eastAsia="en-GB"/>
              </w:rPr>
              <w:t>1988–89/NASS</w:t>
            </w:r>
          </w:p>
        </w:tc>
        <w:tc>
          <w:tcPr>
            <w:tcW w:w="704" w:type="dxa"/>
            <w:tcBorders>
              <w:top w:val="single" w:sz="6" w:space="0" w:color="DDDDDD"/>
              <w:left w:val="nil"/>
              <w:bottom w:val="nil"/>
              <w:right w:val="nil"/>
            </w:tcBorders>
            <w:shd w:val="clear" w:color="auto" w:fill="C7E4DC"/>
            <w:tcMar>
              <w:top w:w="120" w:type="dxa"/>
              <w:left w:w="120" w:type="dxa"/>
              <w:bottom w:w="120" w:type="dxa"/>
              <w:right w:w="120" w:type="dxa"/>
            </w:tcMar>
            <w:hideMark/>
          </w:tcPr>
          <w:p w14:paraId="0E34AC24" w14:textId="77777777" w:rsidR="00C128C1" w:rsidRPr="00967326" w:rsidRDefault="00C128C1" w:rsidP="00967326">
            <w:pPr>
              <w:spacing w:after="0" w:line="240" w:lineRule="auto"/>
              <w:rPr>
                <w:rFonts w:ascii="Abel" w:eastAsia="Times New Roman" w:hAnsi="Abel" w:cs="Times New Roman"/>
                <w:color w:val="888888"/>
                <w:sz w:val="24"/>
                <w:szCs w:val="24"/>
                <w:lang w:eastAsia="en-GB"/>
              </w:rPr>
            </w:pPr>
            <w:r w:rsidRPr="00967326">
              <w:rPr>
                <w:rFonts w:ascii="Abel" w:eastAsia="Times New Roman" w:hAnsi="Abel" w:cs="Times New Roman"/>
                <w:color w:val="888888"/>
                <w:sz w:val="24"/>
                <w:szCs w:val="24"/>
                <w:lang w:eastAsia="en-GB"/>
              </w:rPr>
              <w:t>S</w:t>
            </w:r>
          </w:p>
        </w:tc>
        <w:tc>
          <w:tcPr>
            <w:tcW w:w="1221" w:type="dxa"/>
            <w:tcBorders>
              <w:top w:val="single" w:sz="6" w:space="0" w:color="DDDDDD"/>
              <w:left w:val="nil"/>
              <w:bottom w:val="nil"/>
              <w:right w:val="nil"/>
            </w:tcBorders>
            <w:shd w:val="clear" w:color="auto" w:fill="C7E4DC"/>
            <w:tcMar>
              <w:top w:w="120" w:type="dxa"/>
              <w:left w:w="120" w:type="dxa"/>
              <w:bottom w:w="120" w:type="dxa"/>
              <w:right w:w="120" w:type="dxa"/>
            </w:tcMar>
            <w:hideMark/>
          </w:tcPr>
          <w:p w14:paraId="15BC96E1" w14:textId="77777777" w:rsidR="00C128C1" w:rsidRPr="00967326" w:rsidRDefault="00C128C1" w:rsidP="00967326">
            <w:pPr>
              <w:spacing w:after="0" w:line="240" w:lineRule="auto"/>
              <w:rPr>
                <w:rFonts w:ascii="Abel" w:eastAsia="Times New Roman" w:hAnsi="Abel" w:cs="Times New Roman"/>
                <w:color w:val="888888"/>
                <w:sz w:val="24"/>
                <w:szCs w:val="24"/>
                <w:lang w:eastAsia="en-GB"/>
              </w:rPr>
            </w:pPr>
            <w:r w:rsidRPr="00967326">
              <w:rPr>
                <w:rFonts w:ascii="Abel" w:eastAsia="Times New Roman" w:hAnsi="Abel" w:cs="Times New Roman"/>
                <w:color w:val="888888"/>
                <w:sz w:val="24"/>
                <w:szCs w:val="24"/>
                <w:lang w:eastAsia="en-GB"/>
              </w:rPr>
              <w:t>67,380</w:t>
            </w:r>
          </w:p>
        </w:tc>
        <w:tc>
          <w:tcPr>
            <w:tcW w:w="816" w:type="dxa"/>
            <w:tcBorders>
              <w:top w:val="single" w:sz="6" w:space="0" w:color="DDDDDD"/>
              <w:left w:val="nil"/>
              <w:bottom w:val="nil"/>
              <w:right w:val="nil"/>
            </w:tcBorders>
            <w:shd w:val="clear" w:color="auto" w:fill="C7E4DC"/>
            <w:tcMar>
              <w:top w:w="120" w:type="dxa"/>
              <w:left w:w="120" w:type="dxa"/>
              <w:bottom w:w="120" w:type="dxa"/>
              <w:right w:w="120" w:type="dxa"/>
            </w:tcMar>
            <w:hideMark/>
          </w:tcPr>
          <w:p w14:paraId="7EF4F93F" w14:textId="77777777" w:rsidR="00C128C1" w:rsidRPr="00967326" w:rsidRDefault="00C128C1" w:rsidP="00967326">
            <w:pPr>
              <w:spacing w:after="0" w:line="240" w:lineRule="auto"/>
              <w:rPr>
                <w:rFonts w:ascii="Abel" w:eastAsia="Times New Roman" w:hAnsi="Abel" w:cs="Times New Roman"/>
                <w:color w:val="888888"/>
                <w:sz w:val="24"/>
                <w:szCs w:val="24"/>
                <w:lang w:eastAsia="en-GB"/>
              </w:rPr>
            </w:pPr>
            <w:r w:rsidRPr="00967326">
              <w:rPr>
                <w:rFonts w:ascii="Abel" w:eastAsia="Times New Roman" w:hAnsi="Abel" w:cs="Times New Roman"/>
                <w:color w:val="888888"/>
                <w:sz w:val="24"/>
                <w:szCs w:val="24"/>
                <w:lang w:eastAsia="en-GB"/>
              </w:rPr>
              <w:t>p</w:t>
            </w:r>
          </w:p>
        </w:tc>
        <w:tc>
          <w:tcPr>
            <w:tcW w:w="850" w:type="dxa"/>
            <w:tcBorders>
              <w:top w:val="single" w:sz="6" w:space="0" w:color="DDDDDD"/>
              <w:left w:val="nil"/>
              <w:bottom w:val="nil"/>
              <w:right w:val="nil"/>
            </w:tcBorders>
            <w:shd w:val="clear" w:color="auto" w:fill="C7E4DC"/>
            <w:tcMar>
              <w:top w:w="120" w:type="dxa"/>
              <w:left w:w="120" w:type="dxa"/>
              <w:bottom w:w="120" w:type="dxa"/>
              <w:right w:w="120" w:type="dxa"/>
            </w:tcMar>
            <w:hideMark/>
          </w:tcPr>
          <w:p w14:paraId="170AD8FB" w14:textId="77777777" w:rsidR="00C128C1" w:rsidRPr="00967326" w:rsidRDefault="00C128C1" w:rsidP="00967326">
            <w:pPr>
              <w:spacing w:after="0" w:line="240" w:lineRule="auto"/>
              <w:rPr>
                <w:rFonts w:ascii="Abel" w:eastAsia="Times New Roman" w:hAnsi="Abel" w:cs="Times New Roman"/>
                <w:color w:val="888888"/>
                <w:sz w:val="24"/>
                <w:szCs w:val="24"/>
                <w:lang w:eastAsia="en-GB"/>
              </w:rPr>
            </w:pPr>
            <w:r w:rsidRPr="00967326">
              <w:rPr>
                <w:rFonts w:ascii="Abel" w:eastAsia="Times New Roman" w:hAnsi="Abel" w:cs="Times New Roman"/>
                <w:color w:val="888888"/>
                <w:sz w:val="24"/>
                <w:szCs w:val="24"/>
                <w:lang w:eastAsia="en-GB"/>
              </w:rPr>
              <w:t>0.19</w:t>
            </w:r>
          </w:p>
        </w:tc>
        <w:tc>
          <w:tcPr>
            <w:tcW w:w="1134" w:type="dxa"/>
            <w:tcBorders>
              <w:top w:val="single" w:sz="6" w:space="0" w:color="DDDDDD"/>
              <w:left w:val="nil"/>
              <w:bottom w:val="nil"/>
              <w:right w:val="nil"/>
            </w:tcBorders>
            <w:shd w:val="clear" w:color="auto" w:fill="C7E4DC"/>
            <w:tcMar>
              <w:top w:w="120" w:type="dxa"/>
              <w:left w:w="120" w:type="dxa"/>
              <w:bottom w:w="120" w:type="dxa"/>
              <w:right w:w="120" w:type="dxa"/>
            </w:tcMar>
            <w:hideMark/>
          </w:tcPr>
          <w:p w14:paraId="1632C8AA" w14:textId="77777777" w:rsidR="00C128C1" w:rsidRPr="00967326" w:rsidRDefault="00C128C1" w:rsidP="00967326">
            <w:pPr>
              <w:spacing w:after="0" w:line="240" w:lineRule="auto"/>
              <w:rPr>
                <w:rFonts w:ascii="Abel" w:eastAsia="Times New Roman" w:hAnsi="Abel" w:cs="Times New Roman"/>
                <w:color w:val="888888"/>
                <w:sz w:val="24"/>
                <w:szCs w:val="24"/>
                <w:lang w:eastAsia="en-GB"/>
              </w:rPr>
            </w:pPr>
            <w:r w:rsidRPr="00967326">
              <w:rPr>
                <w:rFonts w:ascii="Abel" w:eastAsia="Times New Roman" w:hAnsi="Abel" w:cs="Times New Roman"/>
                <w:color w:val="888888"/>
                <w:sz w:val="24"/>
                <w:szCs w:val="24"/>
                <w:lang w:eastAsia="en-GB"/>
              </w:rPr>
              <w:t>44,060–92,181</w:t>
            </w:r>
          </w:p>
        </w:tc>
      </w:tr>
      <w:tr w:rsidR="00C128C1" w:rsidRPr="00967326" w14:paraId="44DEAF73" w14:textId="77777777" w:rsidTr="00C128C1">
        <w:tc>
          <w:tcPr>
            <w:tcW w:w="2106" w:type="dxa"/>
            <w:tcBorders>
              <w:top w:val="single" w:sz="6" w:space="0" w:color="DDDDDD"/>
              <w:left w:val="nil"/>
              <w:bottom w:val="nil"/>
              <w:right w:val="nil"/>
            </w:tcBorders>
            <w:shd w:val="clear" w:color="auto" w:fill="FFFFFF"/>
            <w:tcMar>
              <w:top w:w="120" w:type="dxa"/>
              <w:left w:w="120" w:type="dxa"/>
              <w:bottom w:w="120" w:type="dxa"/>
              <w:right w:w="120" w:type="dxa"/>
            </w:tcMar>
            <w:hideMark/>
          </w:tcPr>
          <w:p w14:paraId="70261FAB" w14:textId="77777777" w:rsidR="00C128C1" w:rsidRPr="00967326" w:rsidRDefault="00C128C1" w:rsidP="00967326">
            <w:pPr>
              <w:spacing w:after="0" w:line="240" w:lineRule="auto"/>
              <w:rPr>
                <w:rFonts w:ascii="Abel" w:eastAsia="Times New Roman" w:hAnsi="Abel" w:cs="Times New Roman"/>
                <w:color w:val="888888"/>
                <w:sz w:val="24"/>
                <w:szCs w:val="24"/>
                <w:lang w:eastAsia="en-GB"/>
              </w:rPr>
            </w:pPr>
            <w:r w:rsidRPr="00967326">
              <w:rPr>
                <w:rFonts w:ascii="Abel" w:eastAsia="Times New Roman" w:hAnsi="Abel" w:cs="Times New Roman"/>
                <w:color w:val="888888"/>
                <w:sz w:val="24"/>
                <w:szCs w:val="24"/>
                <w:lang w:eastAsia="en-GB"/>
              </w:rPr>
              <w:lastRenderedPageBreak/>
              <w:t>1995/NILS</w:t>
            </w:r>
          </w:p>
        </w:tc>
        <w:tc>
          <w:tcPr>
            <w:tcW w:w="704" w:type="dxa"/>
            <w:tcBorders>
              <w:top w:val="single" w:sz="6" w:space="0" w:color="DDDDDD"/>
              <w:left w:val="nil"/>
              <w:bottom w:val="nil"/>
              <w:right w:val="nil"/>
            </w:tcBorders>
            <w:shd w:val="clear" w:color="auto" w:fill="FFFFFF"/>
            <w:tcMar>
              <w:top w:w="120" w:type="dxa"/>
              <w:left w:w="120" w:type="dxa"/>
              <w:bottom w:w="120" w:type="dxa"/>
              <w:right w:w="120" w:type="dxa"/>
            </w:tcMar>
            <w:hideMark/>
          </w:tcPr>
          <w:p w14:paraId="0199D577" w14:textId="77777777" w:rsidR="00C128C1" w:rsidRPr="00967326" w:rsidRDefault="00C128C1" w:rsidP="00967326">
            <w:pPr>
              <w:spacing w:after="0" w:line="240" w:lineRule="auto"/>
              <w:rPr>
                <w:rFonts w:ascii="Abel" w:eastAsia="Times New Roman" w:hAnsi="Abel" w:cs="Times New Roman"/>
                <w:color w:val="888888"/>
                <w:sz w:val="24"/>
                <w:szCs w:val="24"/>
                <w:lang w:eastAsia="en-GB"/>
              </w:rPr>
            </w:pPr>
            <w:r w:rsidRPr="00967326">
              <w:rPr>
                <w:rFonts w:ascii="Abel" w:eastAsia="Times New Roman" w:hAnsi="Abel" w:cs="Times New Roman"/>
                <w:color w:val="888888"/>
                <w:sz w:val="24"/>
                <w:szCs w:val="24"/>
                <w:lang w:eastAsia="en-GB"/>
              </w:rPr>
              <w:t>S</w:t>
            </w:r>
          </w:p>
        </w:tc>
        <w:tc>
          <w:tcPr>
            <w:tcW w:w="1221" w:type="dxa"/>
            <w:tcBorders>
              <w:top w:val="single" w:sz="6" w:space="0" w:color="DDDDDD"/>
              <w:left w:val="nil"/>
              <w:bottom w:val="nil"/>
              <w:right w:val="nil"/>
            </w:tcBorders>
            <w:shd w:val="clear" w:color="auto" w:fill="FFFFFF"/>
            <w:tcMar>
              <w:top w:w="120" w:type="dxa"/>
              <w:left w:w="120" w:type="dxa"/>
              <w:bottom w:w="120" w:type="dxa"/>
              <w:right w:w="120" w:type="dxa"/>
            </w:tcMar>
            <w:hideMark/>
          </w:tcPr>
          <w:p w14:paraId="059EF0E7" w14:textId="77777777" w:rsidR="00C128C1" w:rsidRPr="00967326" w:rsidRDefault="00C128C1" w:rsidP="00967326">
            <w:pPr>
              <w:spacing w:after="0" w:line="240" w:lineRule="auto"/>
              <w:rPr>
                <w:rFonts w:ascii="Abel" w:eastAsia="Times New Roman" w:hAnsi="Abel" w:cs="Times New Roman"/>
                <w:color w:val="888888"/>
                <w:sz w:val="24"/>
                <w:szCs w:val="24"/>
                <w:lang w:eastAsia="en-GB"/>
              </w:rPr>
            </w:pPr>
            <w:r w:rsidRPr="00967326">
              <w:rPr>
                <w:rFonts w:ascii="Abel" w:eastAsia="Times New Roman" w:hAnsi="Abel" w:cs="Times New Roman"/>
                <w:color w:val="888888"/>
                <w:sz w:val="24"/>
                <w:szCs w:val="24"/>
                <w:lang w:eastAsia="en-GB"/>
              </w:rPr>
              <w:t>118,299</w:t>
            </w:r>
          </w:p>
        </w:tc>
        <w:tc>
          <w:tcPr>
            <w:tcW w:w="816" w:type="dxa"/>
            <w:tcBorders>
              <w:top w:val="single" w:sz="6" w:space="0" w:color="DDDDDD"/>
              <w:left w:val="nil"/>
              <w:bottom w:val="nil"/>
              <w:right w:val="nil"/>
            </w:tcBorders>
            <w:shd w:val="clear" w:color="auto" w:fill="FFFFFF"/>
            <w:tcMar>
              <w:top w:w="120" w:type="dxa"/>
              <w:left w:w="120" w:type="dxa"/>
              <w:bottom w:w="120" w:type="dxa"/>
              <w:right w:w="120" w:type="dxa"/>
            </w:tcMar>
            <w:hideMark/>
          </w:tcPr>
          <w:p w14:paraId="3D8C8A03" w14:textId="77777777" w:rsidR="00C128C1" w:rsidRPr="00967326" w:rsidRDefault="00C128C1" w:rsidP="00967326">
            <w:pPr>
              <w:spacing w:after="0" w:line="240" w:lineRule="auto"/>
              <w:rPr>
                <w:rFonts w:ascii="Abel" w:eastAsia="Times New Roman" w:hAnsi="Abel" w:cs="Times New Roman"/>
                <w:color w:val="888888"/>
                <w:sz w:val="24"/>
                <w:szCs w:val="24"/>
                <w:lang w:eastAsia="en-GB"/>
              </w:rPr>
            </w:pPr>
            <w:proofErr w:type="spellStart"/>
            <w:r w:rsidRPr="00967326">
              <w:rPr>
                <w:rFonts w:ascii="Abel" w:eastAsia="Times New Roman" w:hAnsi="Abel" w:cs="Times New Roman"/>
                <w:color w:val="888888"/>
                <w:sz w:val="24"/>
                <w:szCs w:val="24"/>
                <w:lang w:eastAsia="en-GB"/>
              </w:rPr>
              <w:t>a.p</w:t>
            </w:r>
            <w:proofErr w:type="spellEnd"/>
          </w:p>
        </w:tc>
        <w:tc>
          <w:tcPr>
            <w:tcW w:w="850" w:type="dxa"/>
            <w:tcBorders>
              <w:top w:val="single" w:sz="6" w:space="0" w:color="DDDDDD"/>
              <w:left w:val="nil"/>
              <w:bottom w:val="nil"/>
              <w:right w:val="nil"/>
            </w:tcBorders>
            <w:shd w:val="clear" w:color="auto" w:fill="FFFFFF"/>
            <w:tcMar>
              <w:top w:w="120" w:type="dxa"/>
              <w:left w:w="120" w:type="dxa"/>
              <w:bottom w:w="120" w:type="dxa"/>
              <w:right w:w="120" w:type="dxa"/>
            </w:tcMar>
            <w:hideMark/>
          </w:tcPr>
          <w:p w14:paraId="53976DFD" w14:textId="77777777" w:rsidR="00C128C1" w:rsidRPr="00967326" w:rsidRDefault="00C128C1" w:rsidP="00967326">
            <w:pPr>
              <w:spacing w:after="0" w:line="240" w:lineRule="auto"/>
              <w:rPr>
                <w:rFonts w:ascii="Abel" w:eastAsia="Times New Roman" w:hAnsi="Abel" w:cs="Times New Roman"/>
                <w:color w:val="888888"/>
                <w:sz w:val="24"/>
                <w:szCs w:val="24"/>
                <w:lang w:eastAsia="en-GB"/>
              </w:rPr>
            </w:pPr>
            <w:r w:rsidRPr="00967326">
              <w:rPr>
                <w:rFonts w:ascii="Abel" w:eastAsia="Times New Roman" w:hAnsi="Abel" w:cs="Times New Roman"/>
                <w:color w:val="888888"/>
                <w:sz w:val="24"/>
                <w:szCs w:val="24"/>
                <w:lang w:eastAsia="en-GB"/>
              </w:rPr>
              <w:t>0.10</w:t>
            </w:r>
          </w:p>
        </w:tc>
        <w:tc>
          <w:tcPr>
            <w:tcW w:w="1134" w:type="dxa"/>
            <w:tcBorders>
              <w:top w:val="single" w:sz="6" w:space="0" w:color="DDDDDD"/>
              <w:left w:val="nil"/>
              <w:bottom w:val="nil"/>
              <w:right w:val="nil"/>
            </w:tcBorders>
            <w:shd w:val="clear" w:color="auto" w:fill="FFFFFF"/>
            <w:tcMar>
              <w:top w:w="120" w:type="dxa"/>
              <w:left w:w="120" w:type="dxa"/>
              <w:bottom w:w="120" w:type="dxa"/>
              <w:right w:w="120" w:type="dxa"/>
            </w:tcMar>
            <w:hideMark/>
          </w:tcPr>
          <w:p w14:paraId="736355C7" w14:textId="77777777" w:rsidR="00C128C1" w:rsidRPr="00967326" w:rsidRDefault="00C128C1" w:rsidP="00967326">
            <w:pPr>
              <w:spacing w:after="0" w:line="240" w:lineRule="auto"/>
              <w:rPr>
                <w:rFonts w:ascii="Abel" w:eastAsia="Times New Roman" w:hAnsi="Abel" w:cs="Times New Roman"/>
                <w:color w:val="888888"/>
                <w:sz w:val="24"/>
                <w:szCs w:val="24"/>
                <w:lang w:eastAsia="en-GB"/>
              </w:rPr>
            </w:pPr>
            <w:r w:rsidRPr="00967326">
              <w:rPr>
                <w:rFonts w:ascii="Abel" w:eastAsia="Times New Roman" w:hAnsi="Abel" w:cs="Times New Roman"/>
                <w:color w:val="888888"/>
                <w:sz w:val="24"/>
                <w:szCs w:val="24"/>
                <w:lang w:eastAsia="en-GB"/>
              </w:rPr>
              <w:t>92,213–136,337</w:t>
            </w:r>
          </w:p>
        </w:tc>
      </w:tr>
      <w:tr w:rsidR="00C128C1" w:rsidRPr="00967326" w14:paraId="768A68CB" w14:textId="77777777" w:rsidTr="00C128C1">
        <w:tc>
          <w:tcPr>
            <w:tcW w:w="2106" w:type="dxa"/>
            <w:tcBorders>
              <w:top w:val="single" w:sz="6" w:space="0" w:color="DDDDDD"/>
              <w:left w:val="nil"/>
              <w:bottom w:val="nil"/>
              <w:right w:val="nil"/>
            </w:tcBorders>
            <w:shd w:val="clear" w:color="auto" w:fill="E2F1ED"/>
            <w:tcMar>
              <w:top w:w="120" w:type="dxa"/>
              <w:left w:w="120" w:type="dxa"/>
              <w:bottom w:w="120" w:type="dxa"/>
              <w:right w:w="120" w:type="dxa"/>
            </w:tcMar>
            <w:hideMark/>
          </w:tcPr>
          <w:p w14:paraId="4C9C7405" w14:textId="77777777" w:rsidR="00C128C1" w:rsidRPr="00967326" w:rsidRDefault="00C128C1" w:rsidP="00967326">
            <w:pPr>
              <w:spacing w:after="0" w:line="240" w:lineRule="auto"/>
              <w:rPr>
                <w:rFonts w:ascii="Abel" w:eastAsia="Times New Roman" w:hAnsi="Abel" w:cs="Times New Roman"/>
                <w:color w:val="888888"/>
                <w:sz w:val="24"/>
                <w:szCs w:val="24"/>
                <w:lang w:eastAsia="en-GB"/>
              </w:rPr>
            </w:pPr>
            <w:r w:rsidRPr="00967326">
              <w:rPr>
                <w:rFonts w:ascii="Abel" w:eastAsia="Times New Roman" w:hAnsi="Abel" w:cs="Times New Roman"/>
                <w:color w:val="888888"/>
                <w:sz w:val="24"/>
                <w:szCs w:val="24"/>
                <w:lang w:eastAsia="en-GB"/>
              </w:rPr>
              <w:t>1996–2001/NILS</w:t>
            </w:r>
          </w:p>
        </w:tc>
        <w:tc>
          <w:tcPr>
            <w:tcW w:w="704" w:type="dxa"/>
            <w:tcBorders>
              <w:top w:val="single" w:sz="6" w:space="0" w:color="DDDDDD"/>
              <w:left w:val="nil"/>
              <w:bottom w:val="nil"/>
              <w:right w:val="nil"/>
            </w:tcBorders>
            <w:shd w:val="clear" w:color="auto" w:fill="E2F1ED"/>
            <w:tcMar>
              <w:top w:w="120" w:type="dxa"/>
              <w:left w:w="120" w:type="dxa"/>
              <w:bottom w:w="120" w:type="dxa"/>
              <w:right w:w="120" w:type="dxa"/>
            </w:tcMar>
            <w:hideMark/>
          </w:tcPr>
          <w:p w14:paraId="291BD4BC" w14:textId="77777777" w:rsidR="00C128C1" w:rsidRPr="00967326" w:rsidRDefault="00C128C1" w:rsidP="00967326">
            <w:pPr>
              <w:spacing w:after="0" w:line="240" w:lineRule="auto"/>
              <w:rPr>
                <w:rFonts w:ascii="Abel" w:eastAsia="Times New Roman" w:hAnsi="Abel" w:cs="Times New Roman"/>
                <w:color w:val="888888"/>
                <w:sz w:val="24"/>
                <w:szCs w:val="24"/>
                <w:lang w:eastAsia="en-GB"/>
              </w:rPr>
            </w:pPr>
            <w:r w:rsidRPr="00967326">
              <w:rPr>
                <w:rFonts w:ascii="Abel" w:eastAsia="Times New Roman" w:hAnsi="Abel" w:cs="Times New Roman"/>
                <w:color w:val="888888"/>
                <w:sz w:val="24"/>
                <w:szCs w:val="24"/>
                <w:lang w:eastAsia="en-GB"/>
              </w:rPr>
              <w:t>S</w:t>
            </w:r>
          </w:p>
        </w:tc>
        <w:tc>
          <w:tcPr>
            <w:tcW w:w="1221" w:type="dxa"/>
            <w:tcBorders>
              <w:top w:val="single" w:sz="6" w:space="0" w:color="DDDDDD"/>
              <w:left w:val="nil"/>
              <w:bottom w:val="nil"/>
              <w:right w:val="nil"/>
            </w:tcBorders>
            <w:shd w:val="clear" w:color="auto" w:fill="E2F1ED"/>
            <w:tcMar>
              <w:top w:w="120" w:type="dxa"/>
              <w:left w:w="120" w:type="dxa"/>
              <w:bottom w:w="120" w:type="dxa"/>
              <w:right w:w="120" w:type="dxa"/>
            </w:tcMar>
            <w:hideMark/>
          </w:tcPr>
          <w:p w14:paraId="2BBCFFDF" w14:textId="77777777" w:rsidR="00C128C1" w:rsidRPr="00967326" w:rsidRDefault="00C128C1" w:rsidP="00967326">
            <w:pPr>
              <w:spacing w:after="0" w:line="240" w:lineRule="auto"/>
              <w:rPr>
                <w:rFonts w:ascii="Abel" w:eastAsia="Times New Roman" w:hAnsi="Abel" w:cs="Times New Roman"/>
                <w:color w:val="888888"/>
                <w:sz w:val="24"/>
                <w:szCs w:val="24"/>
                <w:lang w:eastAsia="en-GB"/>
              </w:rPr>
            </w:pPr>
            <w:r w:rsidRPr="00967326">
              <w:rPr>
                <w:rFonts w:ascii="Abel" w:eastAsia="Times New Roman" w:hAnsi="Abel" w:cs="Times New Roman"/>
                <w:color w:val="888888"/>
                <w:sz w:val="24"/>
                <w:szCs w:val="24"/>
                <w:lang w:eastAsia="en-GB"/>
              </w:rPr>
              <w:t>107,205</w:t>
            </w:r>
          </w:p>
        </w:tc>
        <w:tc>
          <w:tcPr>
            <w:tcW w:w="816" w:type="dxa"/>
            <w:tcBorders>
              <w:top w:val="single" w:sz="6" w:space="0" w:color="DDDDDD"/>
              <w:left w:val="nil"/>
              <w:bottom w:val="nil"/>
              <w:right w:val="nil"/>
            </w:tcBorders>
            <w:shd w:val="clear" w:color="auto" w:fill="E2F1ED"/>
            <w:tcMar>
              <w:top w:w="120" w:type="dxa"/>
              <w:left w:w="120" w:type="dxa"/>
              <w:bottom w:w="120" w:type="dxa"/>
              <w:right w:w="120" w:type="dxa"/>
            </w:tcMar>
            <w:hideMark/>
          </w:tcPr>
          <w:p w14:paraId="0CB0E41C" w14:textId="77777777" w:rsidR="00C128C1" w:rsidRPr="00967326" w:rsidRDefault="00C128C1" w:rsidP="00967326">
            <w:pPr>
              <w:spacing w:after="0" w:line="240" w:lineRule="auto"/>
              <w:rPr>
                <w:rFonts w:ascii="Abel" w:eastAsia="Times New Roman" w:hAnsi="Abel" w:cs="Times New Roman"/>
                <w:color w:val="888888"/>
                <w:sz w:val="24"/>
                <w:szCs w:val="24"/>
                <w:lang w:eastAsia="en-GB"/>
              </w:rPr>
            </w:pPr>
            <w:proofErr w:type="spellStart"/>
            <w:r w:rsidRPr="00967326">
              <w:rPr>
                <w:rFonts w:ascii="Abel" w:eastAsia="Times New Roman" w:hAnsi="Abel" w:cs="Times New Roman"/>
                <w:color w:val="888888"/>
                <w:sz w:val="24"/>
                <w:szCs w:val="24"/>
                <w:lang w:eastAsia="en-GB"/>
              </w:rPr>
              <w:t>a.p</w:t>
            </w:r>
            <w:proofErr w:type="spellEnd"/>
          </w:p>
        </w:tc>
        <w:tc>
          <w:tcPr>
            <w:tcW w:w="850" w:type="dxa"/>
            <w:tcBorders>
              <w:top w:val="single" w:sz="6" w:space="0" w:color="DDDDDD"/>
              <w:left w:val="nil"/>
              <w:bottom w:val="nil"/>
              <w:right w:val="nil"/>
            </w:tcBorders>
            <w:shd w:val="clear" w:color="auto" w:fill="E2F1ED"/>
            <w:tcMar>
              <w:top w:w="120" w:type="dxa"/>
              <w:left w:w="120" w:type="dxa"/>
              <w:bottom w:w="120" w:type="dxa"/>
              <w:right w:w="120" w:type="dxa"/>
            </w:tcMar>
            <w:hideMark/>
          </w:tcPr>
          <w:p w14:paraId="792BAE55" w14:textId="77777777" w:rsidR="00C128C1" w:rsidRPr="00967326" w:rsidRDefault="00C128C1" w:rsidP="00967326">
            <w:pPr>
              <w:spacing w:after="0" w:line="240" w:lineRule="auto"/>
              <w:rPr>
                <w:rFonts w:ascii="Abel" w:eastAsia="Times New Roman" w:hAnsi="Abel" w:cs="Times New Roman"/>
                <w:color w:val="888888"/>
                <w:sz w:val="24"/>
                <w:szCs w:val="24"/>
                <w:lang w:eastAsia="en-GB"/>
              </w:rPr>
            </w:pPr>
            <w:r w:rsidRPr="00967326">
              <w:rPr>
                <w:rFonts w:ascii="Abel" w:eastAsia="Times New Roman" w:hAnsi="Abel" w:cs="Times New Roman"/>
                <w:color w:val="888888"/>
                <w:sz w:val="24"/>
                <w:szCs w:val="24"/>
                <w:lang w:eastAsia="en-GB"/>
              </w:rPr>
              <w:t>0.13</w:t>
            </w:r>
          </w:p>
        </w:tc>
        <w:tc>
          <w:tcPr>
            <w:tcW w:w="1134" w:type="dxa"/>
            <w:tcBorders>
              <w:top w:val="single" w:sz="6" w:space="0" w:color="DDDDDD"/>
              <w:left w:val="nil"/>
              <w:bottom w:val="nil"/>
              <w:right w:val="nil"/>
            </w:tcBorders>
            <w:shd w:val="clear" w:color="auto" w:fill="E2F1ED"/>
            <w:tcMar>
              <w:top w:w="120" w:type="dxa"/>
              <w:left w:w="120" w:type="dxa"/>
              <w:bottom w:w="120" w:type="dxa"/>
              <w:right w:w="120" w:type="dxa"/>
            </w:tcMar>
            <w:hideMark/>
          </w:tcPr>
          <w:p w14:paraId="1BCBDA82" w14:textId="77777777" w:rsidR="00C128C1" w:rsidRPr="00967326" w:rsidRDefault="00C128C1" w:rsidP="00967326">
            <w:pPr>
              <w:spacing w:after="0" w:line="240" w:lineRule="auto"/>
              <w:rPr>
                <w:rFonts w:ascii="Abel" w:eastAsia="Times New Roman" w:hAnsi="Abel" w:cs="Times New Roman"/>
                <w:color w:val="888888"/>
                <w:sz w:val="24"/>
                <w:szCs w:val="24"/>
                <w:lang w:eastAsia="en-GB"/>
              </w:rPr>
            </w:pPr>
            <w:r w:rsidRPr="00967326">
              <w:rPr>
                <w:rFonts w:ascii="Abel" w:eastAsia="Times New Roman" w:hAnsi="Abel" w:cs="Times New Roman"/>
                <w:color w:val="888888"/>
                <w:sz w:val="24"/>
                <w:szCs w:val="24"/>
                <w:lang w:eastAsia="en-GB"/>
              </w:rPr>
              <w:t>83,180–138,169</w:t>
            </w:r>
          </w:p>
        </w:tc>
      </w:tr>
      <w:tr w:rsidR="00C128C1" w:rsidRPr="00967326" w14:paraId="32B009C2" w14:textId="77777777" w:rsidTr="00C128C1">
        <w:tc>
          <w:tcPr>
            <w:tcW w:w="2106" w:type="dxa"/>
            <w:tcBorders>
              <w:top w:val="single" w:sz="6" w:space="0" w:color="DDDDDD"/>
              <w:left w:val="nil"/>
              <w:bottom w:val="nil"/>
              <w:right w:val="nil"/>
            </w:tcBorders>
            <w:shd w:val="clear" w:color="auto" w:fill="FFFFFF"/>
            <w:tcMar>
              <w:top w:w="120" w:type="dxa"/>
              <w:left w:w="120" w:type="dxa"/>
              <w:bottom w:w="120" w:type="dxa"/>
              <w:right w:w="120" w:type="dxa"/>
            </w:tcMar>
            <w:hideMark/>
          </w:tcPr>
          <w:p w14:paraId="4B0154C1" w14:textId="77777777" w:rsidR="00C128C1" w:rsidRPr="00967326" w:rsidRDefault="00C128C1" w:rsidP="00967326">
            <w:pPr>
              <w:spacing w:after="0" w:line="240" w:lineRule="auto"/>
              <w:rPr>
                <w:rFonts w:ascii="Abel" w:eastAsia="Times New Roman" w:hAnsi="Abel" w:cs="Times New Roman"/>
                <w:color w:val="888888"/>
                <w:sz w:val="24"/>
                <w:szCs w:val="24"/>
                <w:lang w:eastAsia="en-GB"/>
              </w:rPr>
            </w:pPr>
            <w:r w:rsidRPr="00967326">
              <w:rPr>
                <w:rFonts w:ascii="Abel" w:eastAsia="Times New Roman" w:hAnsi="Abel" w:cs="Times New Roman"/>
                <w:color w:val="888888"/>
                <w:sz w:val="24"/>
                <w:szCs w:val="24"/>
                <w:lang w:eastAsia="en-GB"/>
              </w:rPr>
              <w:t>2002–2007/NILS</w:t>
            </w:r>
          </w:p>
        </w:tc>
        <w:tc>
          <w:tcPr>
            <w:tcW w:w="704" w:type="dxa"/>
            <w:tcBorders>
              <w:top w:val="single" w:sz="6" w:space="0" w:color="DDDDDD"/>
              <w:left w:val="nil"/>
              <w:bottom w:val="nil"/>
              <w:right w:val="nil"/>
            </w:tcBorders>
            <w:shd w:val="clear" w:color="auto" w:fill="FFFFFF"/>
            <w:tcMar>
              <w:top w:w="120" w:type="dxa"/>
              <w:left w:w="120" w:type="dxa"/>
              <w:bottom w:w="120" w:type="dxa"/>
              <w:right w:w="120" w:type="dxa"/>
            </w:tcMar>
            <w:hideMark/>
          </w:tcPr>
          <w:p w14:paraId="0D1D5D4A" w14:textId="77777777" w:rsidR="00C128C1" w:rsidRPr="00967326" w:rsidRDefault="00C128C1" w:rsidP="00967326">
            <w:pPr>
              <w:spacing w:after="0" w:line="240" w:lineRule="auto"/>
              <w:rPr>
                <w:rFonts w:ascii="Abel" w:eastAsia="Times New Roman" w:hAnsi="Abel" w:cs="Times New Roman"/>
                <w:color w:val="888888"/>
                <w:sz w:val="24"/>
                <w:szCs w:val="24"/>
                <w:lang w:eastAsia="en-GB"/>
              </w:rPr>
            </w:pPr>
            <w:r w:rsidRPr="00967326">
              <w:rPr>
                <w:rFonts w:ascii="Abel" w:eastAsia="Times New Roman" w:hAnsi="Abel" w:cs="Times New Roman"/>
                <w:color w:val="888888"/>
                <w:sz w:val="24"/>
                <w:szCs w:val="24"/>
                <w:lang w:eastAsia="en-GB"/>
              </w:rPr>
              <w:t>S</w:t>
            </w:r>
          </w:p>
        </w:tc>
        <w:tc>
          <w:tcPr>
            <w:tcW w:w="1221" w:type="dxa"/>
            <w:tcBorders>
              <w:top w:val="single" w:sz="6" w:space="0" w:color="DDDDDD"/>
              <w:left w:val="nil"/>
              <w:bottom w:val="nil"/>
              <w:right w:val="nil"/>
            </w:tcBorders>
            <w:shd w:val="clear" w:color="auto" w:fill="FFFFFF"/>
            <w:tcMar>
              <w:top w:w="120" w:type="dxa"/>
              <w:left w:w="120" w:type="dxa"/>
              <w:bottom w:w="120" w:type="dxa"/>
              <w:right w:w="120" w:type="dxa"/>
            </w:tcMar>
            <w:hideMark/>
          </w:tcPr>
          <w:p w14:paraId="3A9085F2" w14:textId="77777777" w:rsidR="00C128C1" w:rsidRPr="00967326" w:rsidRDefault="00C128C1" w:rsidP="00967326">
            <w:pPr>
              <w:spacing w:after="0" w:line="240" w:lineRule="auto"/>
              <w:rPr>
                <w:rFonts w:ascii="Abel" w:eastAsia="Times New Roman" w:hAnsi="Abel" w:cs="Times New Roman"/>
                <w:color w:val="888888"/>
                <w:sz w:val="24"/>
                <w:szCs w:val="24"/>
                <w:lang w:eastAsia="en-GB"/>
              </w:rPr>
            </w:pPr>
            <w:r w:rsidRPr="00967326">
              <w:rPr>
                <w:rFonts w:ascii="Abel" w:eastAsia="Times New Roman" w:hAnsi="Abel" w:cs="Times New Roman"/>
                <w:color w:val="888888"/>
                <w:sz w:val="24"/>
                <w:szCs w:val="24"/>
                <w:lang w:eastAsia="en-GB"/>
              </w:rPr>
              <w:t>108,140</w:t>
            </w:r>
          </w:p>
        </w:tc>
        <w:tc>
          <w:tcPr>
            <w:tcW w:w="816" w:type="dxa"/>
            <w:tcBorders>
              <w:top w:val="single" w:sz="6" w:space="0" w:color="DDDDDD"/>
              <w:left w:val="nil"/>
              <w:bottom w:val="nil"/>
              <w:right w:val="nil"/>
            </w:tcBorders>
            <w:shd w:val="clear" w:color="auto" w:fill="FFFFFF"/>
            <w:tcMar>
              <w:top w:w="120" w:type="dxa"/>
              <w:left w:w="120" w:type="dxa"/>
              <w:bottom w:w="120" w:type="dxa"/>
              <w:right w:w="120" w:type="dxa"/>
            </w:tcMar>
            <w:hideMark/>
          </w:tcPr>
          <w:p w14:paraId="556F793E" w14:textId="77777777" w:rsidR="00C128C1" w:rsidRPr="00967326" w:rsidRDefault="00C128C1" w:rsidP="00967326">
            <w:pPr>
              <w:spacing w:after="0" w:line="240" w:lineRule="auto"/>
              <w:rPr>
                <w:rFonts w:ascii="Abel" w:eastAsia="Times New Roman" w:hAnsi="Abel" w:cs="Times New Roman"/>
                <w:color w:val="888888"/>
                <w:sz w:val="24"/>
                <w:szCs w:val="24"/>
                <w:lang w:eastAsia="en-GB"/>
              </w:rPr>
            </w:pPr>
            <w:proofErr w:type="spellStart"/>
            <w:r w:rsidRPr="00967326">
              <w:rPr>
                <w:rFonts w:ascii="Abel" w:eastAsia="Times New Roman" w:hAnsi="Abel" w:cs="Times New Roman"/>
                <w:color w:val="888888"/>
                <w:sz w:val="24"/>
                <w:szCs w:val="24"/>
                <w:lang w:eastAsia="en-GB"/>
              </w:rPr>
              <w:t>a.p</w:t>
            </w:r>
            <w:proofErr w:type="spellEnd"/>
          </w:p>
        </w:tc>
        <w:tc>
          <w:tcPr>
            <w:tcW w:w="850" w:type="dxa"/>
            <w:tcBorders>
              <w:top w:val="single" w:sz="6" w:space="0" w:color="DDDDDD"/>
              <w:left w:val="nil"/>
              <w:bottom w:val="nil"/>
              <w:right w:val="nil"/>
            </w:tcBorders>
            <w:shd w:val="clear" w:color="auto" w:fill="FFFFFF"/>
            <w:tcMar>
              <w:top w:w="120" w:type="dxa"/>
              <w:left w:w="120" w:type="dxa"/>
              <w:bottom w:w="120" w:type="dxa"/>
              <w:right w:w="120" w:type="dxa"/>
            </w:tcMar>
            <w:hideMark/>
          </w:tcPr>
          <w:p w14:paraId="308B21AE" w14:textId="77777777" w:rsidR="00C128C1" w:rsidRPr="00967326" w:rsidRDefault="00C128C1" w:rsidP="00967326">
            <w:pPr>
              <w:spacing w:after="0" w:line="240" w:lineRule="auto"/>
              <w:rPr>
                <w:rFonts w:ascii="Abel" w:eastAsia="Times New Roman" w:hAnsi="Abel" w:cs="Times New Roman"/>
                <w:color w:val="888888"/>
                <w:sz w:val="24"/>
                <w:szCs w:val="24"/>
                <w:lang w:eastAsia="en-GB"/>
              </w:rPr>
            </w:pPr>
            <w:r w:rsidRPr="00967326">
              <w:rPr>
                <w:rFonts w:ascii="Abel" w:eastAsia="Times New Roman" w:hAnsi="Abel" w:cs="Times New Roman"/>
                <w:color w:val="888888"/>
                <w:sz w:val="24"/>
                <w:szCs w:val="24"/>
                <w:lang w:eastAsia="en-GB"/>
              </w:rPr>
              <w:t>0.23</w:t>
            </w:r>
          </w:p>
        </w:tc>
        <w:tc>
          <w:tcPr>
            <w:tcW w:w="1134" w:type="dxa"/>
            <w:tcBorders>
              <w:top w:val="single" w:sz="6" w:space="0" w:color="DDDDDD"/>
              <w:left w:val="nil"/>
              <w:bottom w:val="nil"/>
              <w:right w:val="nil"/>
            </w:tcBorders>
            <w:shd w:val="clear" w:color="auto" w:fill="FFFFFF"/>
            <w:tcMar>
              <w:top w:w="120" w:type="dxa"/>
              <w:left w:w="120" w:type="dxa"/>
              <w:bottom w:w="120" w:type="dxa"/>
              <w:right w:w="120" w:type="dxa"/>
            </w:tcMar>
            <w:hideMark/>
          </w:tcPr>
          <w:p w14:paraId="6497E81A" w14:textId="77777777" w:rsidR="00C128C1" w:rsidRPr="00967326" w:rsidRDefault="00C128C1" w:rsidP="00967326">
            <w:pPr>
              <w:spacing w:after="0" w:line="240" w:lineRule="auto"/>
              <w:rPr>
                <w:rFonts w:ascii="Abel" w:eastAsia="Times New Roman" w:hAnsi="Abel" w:cs="Times New Roman"/>
                <w:color w:val="888888"/>
                <w:sz w:val="24"/>
                <w:szCs w:val="24"/>
                <w:lang w:eastAsia="en-GB"/>
              </w:rPr>
            </w:pPr>
            <w:r w:rsidRPr="00967326">
              <w:rPr>
                <w:rFonts w:ascii="Abel" w:eastAsia="Times New Roman" w:hAnsi="Abel" w:cs="Times New Roman"/>
                <w:color w:val="888888"/>
                <w:sz w:val="24"/>
                <w:szCs w:val="24"/>
                <w:lang w:eastAsia="en-GB"/>
              </w:rPr>
              <w:t>69,299–168,752</w:t>
            </w:r>
          </w:p>
        </w:tc>
      </w:tr>
      <w:tr w:rsidR="00C128C1" w:rsidRPr="00967326" w14:paraId="19A076E2" w14:textId="77777777" w:rsidTr="00C128C1">
        <w:tc>
          <w:tcPr>
            <w:tcW w:w="2106" w:type="dxa"/>
            <w:tcBorders>
              <w:top w:val="single" w:sz="6" w:space="0" w:color="DDDDDD"/>
              <w:left w:val="nil"/>
              <w:bottom w:val="nil"/>
              <w:right w:val="nil"/>
            </w:tcBorders>
            <w:shd w:val="clear" w:color="auto" w:fill="E2F1ED"/>
            <w:tcMar>
              <w:top w:w="120" w:type="dxa"/>
              <w:left w:w="120" w:type="dxa"/>
              <w:bottom w:w="120" w:type="dxa"/>
              <w:right w:w="120" w:type="dxa"/>
            </w:tcMar>
            <w:hideMark/>
          </w:tcPr>
          <w:p w14:paraId="334FBEB8" w14:textId="77777777" w:rsidR="00C128C1" w:rsidRPr="00967326" w:rsidRDefault="00C128C1" w:rsidP="00967326">
            <w:pPr>
              <w:spacing w:after="0" w:line="240" w:lineRule="auto"/>
              <w:rPr>
                <w:rFonts w:ascii="Abel" w:eastAsia="Times New Roman" w:hAnsi="Abel" w:cs="Times New Roman"/>
                <w:color w:val="888888"/>
                <w:sz w:val="24"/>
                <w:szCs w:val="24"/>
                <w:lang w:eastAsia="en-GB"/>
              </w:rPr>
            </w:pPr>
            <w:r w:rsidRPr="00967326">
              <w:rPr>
                <w:rFonts w:ascii="Abel" w:eastAsia="Times New Roman" w:hAnsi="Abel" w:cs="Times New Roman"/>
                <w:color w:val="888888"/>
                <w:sz w:val="24"/>
                <w:szCs w:val="24"/>
                <w:lang w:eastAsia="en-GB"/>
              </w:rPr>
              <w:t>2008–2013/NILS</w:t>
            </w:r>
          </w:p>
        </w:tc>
        <w:tc>
          <w:tcPr>
            <w:tcW w:w="704" w:type="dxa"/>
            <w:tcBorders>
              <w:top w:val="single" w:sz="6" w:space="0" w:color="DDDDDD"/>
              <w:left w:val="nil"/>
              <w:bottom w:val="nil"/>
              <w:right w:val="nil"/>
            </w:tcBorders>
            <w:shd w:val="clear" w:color="auto" w:fill="E2F1ED"/>
            <w:tcMar>
              <w:top w:w="120" w:type="dxa"/>
              <w:left w:w="120" w:type="dxa"/>
              <w:bottom w:w="120" w:type="dxa"/>
              <w:right w:w="120" w:type="dxa"/>
            </w:tcMar>
            <w:hideMark/>
          </w:tcPr>
          <w:p w14:paraId="1554637A" w14:textId="77777777" w:rsidR="00C128C1" w:rsidRPr="00967326" w:rsidRDefault="00C128C1" w:rsidP="00967326">
            <w:pPr>
              <w:spacing w:after="0" w:line="240" w:lineRule="auto"/>
              <w:rPr>
                <w:rFonts w:ascii="Abel" w:eastAsia="Times New Roman" w:hAnsi="Abel" w:cs="Times New Roman"/>
                <w:color w:val="888888"/>
                <w:sz w:val="24"/>
                <w:szCs w:val="24"/>
                <w:lang w:eastAsia="en-GB"/>
              </w:rPr>
            </w:pPr>
            <w:r w:rsidRPr="00967326">
              <w:rPr>
                <w:rFonts w:ascii="Abel" w:eastAsia="Times New Roman" w:hAnsi="Abel" w:cs="Times New Roman"/>
                <w:color w:val="888888"/>
                <w:sz w:val="24"/>
                <w:szCs w:val="24"/>
                <w:lang w:eastAsia="en-GB"/>
              </w:rPr>
              <w:t>S</w:t>
            </w:r>
          </w:p>
        </w:tc>
        <w:tc>
          <w:tcPr>
            <w:tcW w:w="1221" w:type="dxa"/>
            <w:tcBorders>
              <w:top w:val="single" w:sz="6" w:space="0" w:color="DDDDDD"/>
              <w:left w:val="nil"/>
              <w:bottom w:val="nil"/>
              <w:right w:val="nil"/>
            </w:tcBorders>
            <w:shd w:val="clear" w:color="auto" w:fill="E2F1ED"/>
            <w:tcMar>
              <w:top w:w="120" w:type="dxa"/>
              <w:left w:w="120" w:type="dxa"/>
              <w:bottom w:w="120" w:type="dxa"/>
              <w:right w:w="120" w:type="dxa"/>
            </w:tcMar>
            <w:hideMark/>
          </w:tcPr>
          <w:p w14:paraId="6178EF7F" w14:textId="77777777" w:rsidR="00C128C1" w:rsidRPr="00967326" w:rsidRDefault="00C128C1" w:rsidP="00967326">
            <w:pPr>
              <w:spacing w:after="0" w:line="240" w:lineRule="auto"/>
              <w:rPr>
                <w:rFonts w:ascii="Abel" w:eastAsia="Times New Roman" w:hAnsi="Abel" w:cs="Times New Roman"/>
                <w:color w:val="888888"/>
                <w:sz w:val="24"/>
                <w:szCs w:val="24"/>
                <w:lang w:eastAsia="en-GB"/>
              </w:rPr>
            </w:pPr>
            <w:r w:rsidRPr="00967326">
              <w:rPr>
                <w:rFonts w:ascii="Abel" w:eastAsia="Times New Roman" w:hAnsi="Abel" w:cs="Times New Roman"/>
                <w:color w:val="888888"/>
                <w:sz w:val="24"/>
                <w:szCs w:val="24"/>
                <w:lang w:eastAsia="en-GB"/>
              </w:rPr>
              <w:t>100,615</w:t>
            </w:r>
          </w:p>
        </w:tc>
        <w:tc>
          <w:tcPr>
            <w:tcW w:w="816" w:type="dxa"/>
            <w:tcBorders>
              <w:top w:val="single" w:sz="6" w:space="0" w:color="DDDDDD"/>
              <w:left w:val="nil"/>
              <w:bottom w:val="nil"/>
              <w:right w:val="nil"/>
            </w:tcBorders>
            <w:shd w:val="clear" w:color="auto" w:fill="E2F1ED"/>
            <w:tcMar>
              <w:top w:w="120" w:type="dxa"/>
              <w:left w:w="120" w:type="dxa"/>
              <w:bottom w:w="120" w:type="dxa"/>
              <w:right w:w="120" w:type="dxa"/>
            </w:tcMar>
            <w:hideMark/>
          </w:tcPr>
          <w:p w14:paraId="7788D378" w14:textId="77777777" w:rsidR="00C128C1" w:rsidRPr="00967326" w:rsidRDefault="00C128C1" w:rsidP="00967326">
            <w:pPr>
              <w:spacing w:after="0" w:line="240" w:lineRule="auto"/>
              <w:rPr>
                <w:rFonts w:ascii="Abel" w:eastAsia="Times New Roman" w:hAnsi="Abel" w:cs="Times New Roman"/>
                <w:color w:val="888888"/>
                <w:sz w:val="24"/>
                <w:szCs w:val="24"/>
                <w:lang w:eastAsia="en-GB"/>
              </w:rPr>
            </w:pPr>
            <w:proofErr w:type="spellStart"/>
            <w:r w:rsidRPr="00967326">
              <w:rPr>
                <w:rFonts w:ascii="Abel" w:eastAsia="Times New Roman" w:hAnsi="Abel" w:cs="Times New Roman"/>
                <w:color w:val="888888"/>
                <w:sz w:val="24"/>
                <w:szCs w:val="24"/>
                <w:lang w:eastAsia="en-GB"/>
              </w:rPr>
              <w:t>a.p</w:t>
            </w:r>
            <w:proofErr w:type="spellEnd"/>
          </w:p>
        </w:tc>
        <w:tc>
          <w:tcPr>
            <w:tcW w:w="850" w:type="dxa"/>
            <w:tcBorders>
              <w:top w:val="single" w:sz="6" w:space="0" w:color="DDDDDD"/>
              <w:left w:val="nil"/>
              <w:bottom w:val="nil"/>
              <w:right w:val="nil"/>
            </w:tcBorders>
            <w:shd w:val="clear" w:color="auto" w:fill="E2F1ED"/>
            <w:tcMar>
              <w:top w:w="120" w:type="dxa"/>
              <w:left w:w="120" w:type="dxa"/>
              <w:bottom w:w="120" w:type="dxa"/>
              <w:right w:w="120" w:type="dxa"/>
            </w:tcMar>
            <w:hideMark/>
          </w:tcPr>
          <w:p w14:paraId="572597DB" w14:textId="77777777" w:rsidR="00C128C1" w:rsidRPr="00967326" w:rsidRDefault="00C128C1" w:rsidP="00967326">
            <w:pPr>
              <w:spacing w:after="0" w:line="240" w:lineRule="auto"/>
              <w:rPr>
                <w:rFonts w:ascii="Abel" w:eastAsia="Times New Roman" w:hAnsi="Abel" w:cs="Times New Roman"/>
                <w:color w:val="888888"/>
                <w:sz w:val="24"/>
                <w:szCs w:val="24"/>
                <w:lang w:eastAsia="en-GB"/>
              </w:rPr>
            </w:pPr>
            <w:r w:rsidRPr="00967326">
              <w:rPr>
                <w:rFonts w:ascii="Abel" w:eastAsia="Times New Roman" w:hAnsi="Abel" w:cs="Times New Roman"/>
                <w:color w:val="888888"/>
                <w:sz w:val="24"/>
                <w:szCs w:val="24"/>
                <w:lang w:eastAsia="en-GB"/>
              </w:rPr>
              <w:t>0.11</w:t>
            </w:r>
          </w:p>
        </w:tc>
        <w:tc>
          <w:tcPr>
            <w:tcW w:w="1134" w:type="dxa"/>
            <w:tcBorders>
              <w:top w:val="single" w:sz="6" w:space="0" w:color="DDDDDD"/>
              <w:left w:val="nil"/>
              <w:bottom w:val="nil"/>
              <w:right w:val="nil"/>
            </w:tcBorders>
            <w:shd w:val="clear" w:color="auto" w:fill="E2F1ED"/>
            <w:tcMar>
              <w:top w:w="120" w:type="dxa"/>
              <w:left w:w="120" w:type="dxa"/>
              <w:bottom w:w="120" w:type="dxa"/>
              <w:right w:w="120" w:type="dxa"/>
            </w:tcMar>
            <w:hideMark/>
          </w:tcPr>
          <w:p w14:paraId="583F90BD" w14:textId="77777777" w:rsidR="00C128C1" w:rsidRPr="00967326" w:rsidRDefault="00C128C1" w:rsidP="00967326">
            <w:pPr>
              <w:spacing w:after="0" w:line="240" w:lineRule="auto"/>
              <w:rPr>
                <w:rFonts w:ascii="Abel" w:eastAsia="Times New Roman" w:hAnsi="Abel" w:cs="Times New Roman"/>
                <w:color w:val="888888"/>
                <w:sz w:val="24"/>
                <w:szCs w:val="24"/>
                <w:lang w:eastAsia="en-GB"/>
              </w:rPr>
            </w:pPr>
            <w:r w:rsidRPr="00967326">
              <w:rPr>
                <w:rFonts w:ascii="Abel" w:eastAsia="Times New Roman" w:hAnsi="Abel" w:cs="Times New Roman"/>
                <w:color w:val="888888"/>
                <w:sz w:val="24"/>
                <w:szCs w:val="24"/>
                <w:lang w:eastAsia="en-GB"/>
              </w:rPr>
              <w:t>81,154–124,743</w:t>
            </w:r>
          </w:p>
        </w:tc>
      </w:tr>
    </w:tbl>
    <w:p w14:paraId="14885CDF" w14:textId="77777777" w:rsidR="00967326" w:rsidRDefault="00967326">
      <w:pPr>
        <w:rPr>
          <w:b/>
          <w:bCs/>
        </w:rPr>
      </w:pPr>
    </w:p>
    <w:p w14:paraId="0CF5EA0A" w14:textId="11931B52" w:rsidR="005625C3" w:rsidRDefault="005625C3">
      <w:pPr>
        <w:rPr>
          <w:b/>
          <w:bCs/>
        </w:rPr>
      </w:pPr>
    </w:p>
    <w:p w14:paraId="52C3AB55" w14:textId="245C4D84" w:rsidR="00FA70E5" w:rsidRPr="001E2BD6" w:rsidRDefault="00FA70E5">
      <w:pPr>
        <w:rPr>
          <w:i/>
          <w:iCs/>
        </w:rPr>
      </w:pPr>
      <w:r w:rsidRPr="001E2BD6">
        <w:rPr>
          <w:i/>
          <w:iCs/>
        </w:rPr>
        <w:t>Pilot whales</w:t>
      </w:r>
    </w:p>
    <w:p w14:paraId="1B110E2B" w14:textId="4B462E94" w:rsidR="00A94466" w:rsidRPr="00FE073F" w:rsidRDefault="00FE073F">
      <w:r>
        <w:t xml:space="preserve">The abundance estimates of pilot whales have fluctuated </w:t>
      </w:r>
      <w:r w:rsidR="00855928">
        <w:t xml:space="preserve">widely over the years and have </w:t>
      </w:r>
      <w:r>
        <w:t>large uncertainties (Figure</w:t>
      </w:r>
      <w:r w:rsidR="00855928">
        <w:t xml:space="preserve"> 10). NAMMCO conclude that there are </w:t>
      </w:r>
      <w:r w:rsidR="00855928" w:rsidRPr="007F7CDC">
        <w:rPr>
          <w:i/>
          <w:iCs/>
        </w:rPr>
        <w:t>“…</w:t>
      </w:r>
      <w:r w:rsidRPr="007F7CDC">
        <w:rPr>
          <w:i/>
          <w:iCs/>
        </w:rPr>
        <w:t>no evidence of any trend in pilot whale numbers in the Northeast Atlantic over the 28-year period from 1987 to 2015</w:t>
      </w:r>
      <w:r w:rsidR="00855928">
        <w:t xml:space="preserve">”. </w:t>
      </w:r>
    </w:p>
    <w:p w14:paraId="2E87AF36" w14:textId="77777777" w:rsidR="00AD71D5" w:rsidRDefault="00AD71D5">
      <w:pPr>
        <w:rPr>
          <w:b/>
          <w:bCs/>
        </w:rPr>
      </w:pPr>
    </w:p>
    <w:tbl>
      <w:tblPr>
        <w:tblStyle w:val="TableGrid"/>
        <w:tblW w:w="0" w:type="auto"/>
        <w:tblLook w:val="04A0" w:firstRow="1" w:lastRow="0" w:firstColumn="1" w:lastColumn="0" w:noHBand="0" w:noVBand="1"/>
      </w:tblPr>
      <w:tblGrid>
        <w:gridCol w:w="9628"/>
      </w:tblGrid>
      <w:tr w:rsidR="00AD71D5" w14:paraId="19EBB560" w14:textId="77777777" w:rsidTr="00AD71D5">
        <w:tc>
          <w:tcPr>
            <w:tcW w:w="9628" w:type="dxa"/>
          </w:tcPr>
          <w:p w14:paraId="5EA9248A" w14:textId="380A6D28" w:rsidR="00AD71D5" w:rsidRDefault="00AD71D5">
            <w:pPr>
              <w:rPr>
                <w:b/>
                <w:bCs/>
              </w:rPr>
            </w:pPr>
            <w:r w:rsidRPr="00AD71D5">
              <w:rPr>
                <w:b/>
                <w:bCs/>
                <w:noProof/>
              </w:rPr>
              <w:drawing>
                <wp:inline distT="0" distB="0" distL="0" distR="0" wp14:anchorId="3D275D95" wp14:editId="076FD386">
                  <wp:extent cx="4526607" cy="3481137"/>
                  <wp:effectExtent l="0" t="0" r="7620" b="5080"/>
                  <wp:docPr id="16815052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28068" cy="3482261"/>
                          </a:xfrm>
                          <a:prstGeom prst="rect">
                            <a:avLst/>
                          </a:prstGeom>
                          <a:noFill/>
                          <a:ln>
                            <a:noFill/>
                          </a:ln>
                        </pic:spPr>
                      </pic:pic>
                    </a:graphicData>
                  </a:graphic>
                </wp:inline>
              </w:drawing>
            </w:r>
          </w:p>
        </w:tc>
      </w:tr>
      <w:tr w:rsidR="00AD71D5" w14:paraId="64FE1150" w14:textId="77777777" w:rsidTr="00AD71D5">
        <w:tc>
          <w:tcPr>
            <w:tcW w:w="9628" w:type="dxa"/>
          </w:tcPr>
          <w:p w14:paraId="0299E54B" w14:textId="49197454" w:rsidR="00AD71D5" w:rsidRDefault="00AD71D5">
            <w:pPr>
              <w:rPr>
                <w:b/>
                <w:bCs/>
              </w:rPr>
            </w:pPr>
            <w:r>
              <w:rPr>
                <w:b/>
                <w:bCs/>
              </w:rPr>
              <w:t xml:space="preserve">Figure 10. </w:t>
            </w:r>
            <w:r w:rsidRPr="00AD71D5">
              <w:t xml:space="preserve">Pilot whale abundance. From Pike </w:t>
            </w:r>
            <w:r w:rsidRPr="00AD71D5">
              <w:rPr>
                <w:i/>
                <w:iCs/>
              </w:rPr>
              <w:t>et al.</w:t>
            </w:r>
            <w:r w:rsidRPr="00AD71D5">
              <w:t xml:space="preserve"> </w:t>
            </w:r>
            <w:r>
              <w:t>(</w:t>
            </w:r>
            <w:r w:rsidRPr="00AD71D5">
              <w:t>2019</w:t>
            </w:r>
            <w:r>
              <w:t>)</w:t>
            </w:r>
            <w:r w:rsidRPr="00AD71D5">
              <w:t>.</w:t>
            </w:r>
            <w:r>
              <w:rPr>
                <w:b/>
                <w:bCs/>
              </w:rPr>
              <w:t xml:space="preserve"> </w:t>
            </w:r>
          </w:p>
        </w:tc>
      </w:tr>
    </w:tbl>
    <w:p w14:paraId="4F7E193E" w14:textId="77777777" w:rsidR="00AD71D5" w:rsidRDefault="00AD71D5">
      <w:pPr>
        <w:rPr>
          <w:b/>
          <w:bCs/>
        </w:rPr>
      </w:pPr>
    </w:p>
    <w:p w14:paraId="636FE79A" w14:textId="77777777" w:rsidR="00A94466" w:rsidRDefault="00A94466">
      <w:pPr>
        <w:rPr>
          <w:b/>
          <w:bCs/>
        </w:rPr>
      </w:pPr>
    </w:p>
    <w:p w14:paraId="6CCD1189" w14:textId="77777777" w:rsidR="00AD71D5" w:rsidRDefault="00AD71D5">
      <w:pPr>
        <w:rPr>
          <w:b/>
          <w:bCs/>
        </w:rPr>
      </w:pPr>
    </w:p>
    <w:p w14:paraId="543980DC" w14:textId="77777777" w:rsidR="00AD71D5" w:rsidRDefault="00AD71D5">
      <w:pPr>
        <w:rPr>
          <w:b/>
          <w:bCs/>
        </w:rPr>
      </w:pPr>
    </w:p>
    <w:p w14:paraId="02763161" w14:textId="77777777" w:rsidR="005625C3" w:rsidRDefault="005625C3">
      <w:pPr>
        <w:rPr>
          <w:b/>
          <w:bCs/>
        </w:rPr>
      </w:pPr>
    </w:p>
    <w:p w14:paraId="5D237383" w14:textId="77777777" w:rsidR="005625C3" w:rsidRDefault="005625C3">
      <w:pPr>
        <w:rPr>
          <w:b/>
          <w:bCs/>
        </w:rPr>
      </w:pPr>
    </w:p>
    <w:p w14:paraId="161EF892" w14:textId="62B1006B" w:rsidR="005625C3" w:rsidRPr="001E2BD6" w:rsidRDefault="005625C3">
      <w:pPr>
        <w:rPr>
          <w:i/>
          <w:iCs/>
        </w:rPr>
      </w:pPr>
      <w:r w:rsidRPr="001E2BD6">
        <w:rPr>
          <w:i/>
          <w:iCs/>
        </w:rPr>
        <w:t>Humpback whales</w:t>
      </w:r>
    </w:p>
    <w:p w14:paraId="112B15CF" w14:textId="61B3B028" w:rsidR="00576F18" w:rsidRPr="008F1DB2" w:rsidRDefault="008F1DB2" w:rsidP="008F1DB2">
      <w:pPr>
        <w:spacing w:after="300" w:line="240" w:lineRule="auto"/>
        <w:textAlignment w:val="baseline"/>
        <w:rPr>
          <w:rFonts w:eastAsia="Times New Roman" w:cstheme="minorHAnsi"/>
          <w:i/>
          <w:iCs/>
          <w:lang w:eastAsia="en-GB"/>
        </w:rPr>
      </w:pPr>
      <w:r>
        <w:rPr>
          <w:rFonts w:eastAsia="Times New Roman" w:cstheme="minorHAnsi"/>
          <w:lang w:eastAsia="en-GB"/>
        </w:rPr>
        <w:t>According to NAMMCO (www.</w:t>
      </w:r>
      <w:r w:rsidRPr="008F1DB2">
        <w:t xml:space="preserve"> </w:t>
      </w:r>
      <w:hyperlink r:id="rId27" w:history="1">
        <w:r w:rsidRPr="00EE7B55">
          <w:rPr>
            <w:rStyle w:val="Hyperlink"/>
            <w:rFonts w:eastAsia="Times New Roman" w:cstheme="minorHAnsi"/>
            <w:lang w:eastAsia="en-GB"/>
          </w:rPr>
          <w:t>https://nammco.no/humpback-whale/#1475844082849-433d5060-e5a9</w:t>
        </w:r>
      </w:hyperlink>
      <w:r>
        <w:rPr>
          <w:rFonts w:eastAsia="Times New Roman" w:cstheme="minorHAnsi"/>
          <w:lang w:eastAsia="en-GB"/>
        </w:rPr>
        <w:t>) : “</w:t>
      </w:r>
      <w:r w:rsidR="00576F18" w:rsidRPr="008F1DB2">
        <w:rPr>
          <w:rFonts w:eastAsia="Times New Roman" w:cstheme="minorHAnsi"/>
          <w:i/>
          <w:iCs/>
          <w:lang w:eastAsia="en-GB"/>
        </w:rPr>
        <w:t>Humpback whale numbers appear to have grown rapidly in some areas of the North Atlantic. Under ideal conditions, humpback whale populations can grow at an annual rate of about 11% (Heide-</w:t>
      </w:r>
      <w:proofErr w:type="spellStart"/>
      <w:r w:rsidR="00576F18" w:rsidRPr="008F1DB2">
        <w:rPr>
          <w:rFonts w:eastAsia="Times New Roman" w:cstheme="minorHAnsi"/>
          <w:i/>
          <w:iCs/>
          <w:lang w:eastAsia="en-GB"/>
        </w:rPr>
        <w:t>Jørgensen</w:t>
      </w:r>
      <w:proofErr w:type="spellEnd"/>
      <w:r w:rsidR="00576F18" w:rsidRPr="008F1DB2">
        <w:rPr>
          <w:rFonts w:eastAsia="Times New Roman" w:cstheme="minorHAnsi"/>
          <w:i/>
          <w:iCs/>
          <w:lang w:eastAsia="en-GB"/>
        </w:rPr>
        <w:t xml:space="preserve"> et al. 2012). Aerial surveys conducted around Iceland between 1986–2001 indicated a rate of increase of about 12% per year, however that increase seems to have slowed or stopped since 2001 (Pike et al. 2019, 2020b). A similar rate of 9.4% per year has been observed off West Greenland between 1984–2007 (Heide-</w:t>
      </w:r>
      <w:proofErr w:type="spellStart"/>
      <w:r w:rsidR="00576F18" w:rsidRPr="008F1DB2">
        <w:rPr>
          <w:rFonts w:eastAsia="Times New Roman" w:cstheme="minorHAnsi"/>
          <w:i/>
          <w:iCs/>
          <w:lang w:eastAsia="en-GB"/>
        </w:rPr>
        <w:t>Jørgensen</w:t>
      </w:r>
      <w:proofErr w:type="spellEnd"/>
      <w:r w:rsidR="00576F18" w:rsidRPr="008F1DB2">
        <w:rPr>
          <w:rFonts w:eastAsia="Times New Roman" w:cstheme="minorHAnsi"/>
          <w:i/>
          <w:iCs/>
          <w:lang w:eastAsia="en-GB"/>
        </w:rPr>
        <w:t xml:space="preserve"> et al. 2012), however the most recent estimate from 2015 is lower (Hansen et al. 2018). Numbers in the Northeast Atlantic off Norway have increased dramatically, with estimates from recent surveys being more than double that observed in the 1996-2001 series and more than ten times that estimated in 1995 (</w:t>
      </w:r>
      <w:proofErr w:type="spellStart"/>
      <w:r w:rsidR="00576F18" w:rsidRPr="008F1DB2">
        <w:rPr>
          <w:rFonts w:eastAsia="Times New Roman" w:cstheme="minorHAnsi"/>
          <w:i/>
          <w:iCs/>
          <w:lang w:eastAsia="en-GB"/>
        </w:rPr>
        <w:t>Øien</w:t>
      </w:r>
      <w:proofErr w:type="spellEnd"/>
      <w:r w:rsidR="00576F18" w:rsidRPr="008F1DB2">
        <w:rPr>
          <w:rFonts w:eastAsia="Times New Roman" w:cstheme="minorHAnsi"/>
          <w:i/>
          <w:iCs/>
          <w:lang w:eastAsia="en-GB"/>
        </w:rPr>
        <w:t xml:space="preserve"> 2009, Leonard &amp; </w:t>
      </w:r>
      <w:proofErr w:type="spellStart"/>
      <w:r w:rsidR="00576F18" w:rsidRPr="008F1DB2">
        <w:rPr>
          <w:rFonts w:eastAsia="Times New Roman" w:cstheme="minorHAnsi"/>
          <w:i/>
          <w:iCs/>
          <w:lang w:eastAsia="en-GB"/>
        </w:rPr>
        <w:t>Øien</w:t>
      </w:r>
      <w:proofErr w:type="spellEnd"/>
      <w:r w:rsidR="00576F18" w:rsidRPr="008F1DB2">
        <w:rPr>
          <w:rFonts w:eastAsia="Times New Roman" w:cstheme="minorHAnsi"/>
          <w:i/>
          <w:iCs/>
          <w:lang w:eastAsia="en-GB"/>
        </w:rPr>
        <w:t xml:space="preserve"> 2020a,b). Taken together, these estimates suggest a substantial increase in humpback whale numbers in most areas of the North Atlantic in the late 20th and early 21st centuries.</w:t>
      </w:r>
      <w:r>
        <w:rPr>
          <w:rFonts w:eastAsia="Times New Roman" w:cstheme="minorHAnsi"/>
          <w:i/>
          <w:iCs/>
          <w:lang w:eastAsia="en-GB"/>
        </w:rPr>
        <w:t>”</w:t>
      </w:r>
    </w:p>
    <w:p w14:paraId="1E8DCDF3" w14:textId="017F2B3A" w:rsidR="00576F18" w:rsidRPr="008F1DB2" w:rsidRDefault="00576F18" w:rsidP="008F1DB2">
      <w:pPr>
        <w:spacing w:line="240" w:lineRule="auto"/>
        <w:rPr>
          <w:rFonts w:cstheme="minorHAnsi"/>
          <w:b/>
          <w:bCs/>
        </w:rPr>
      </w:pPr>
    </w:p>
    <w:p w14:paraId="38195EB3" w14:textId="77777777" w:rsidR="00B065FE" w:rsidRDefault="00B065FE">
      <w:pPr>
        <w:rPr>
          <w:b/>
          <w:bCs/>
        </w:rPr>
      </w:pPr>
    </w:p>
    <w:p w14:paraId="06A9EF78" w14:textId="40548631" w:rsidR="00576F18" w:rsidRDefault="00576F18">
      <w:pPr>
        <w:rPr>
          <w:b/>
          <w:bCs/>
        </w:rPr>
      </w:pPr>
    </w:p>
    <w:p w14:paraId="4A7B5DA8" w14:textId="2E46EE50" w:rsidR="009F3D75" w:rsidRPr="009F3D75" w:rsidRDefault="00B065FE" w:rsidP="009F3D75">
      <w:bookmarkStart w:id="2" w:name="_Hlk133742432"/>
      <w:r>
        <w:rPr>
          <w:rFonts w:ascii="Arial" w:hAnsi="Arial" w:cs="Arial"/>
          <w:sz w:val="20"/>
          <w:szCs w:val="20"/>
          <w:shd w:val="clear" w:color="auto" w:fill="FFFFFF"/>
        </w:rPr>
        <w:t xml:space="preserve">According to </w:t>
      </w:r>
      <w:r w:rsidR="00576F18">
        <w:rPr>
          <w:rFonts w:ascii="Arial" w:hAnsi="Arial" w:cs="Arial"/>
          <w:sz w:val="20"/>
          <w:szCs w:val="20"/>
          <w:shd w:val="clear" w:color="auto" w:fill="FFFFFF"/>
        </w:rPr>
        <w:t>Leonard</w:t>
      </w:r>
      <w:r>
        <w:rPr>
          <w:rFonts w:ascii="Arial" w:hAnsi="Arial" w:cs="Arial"/>
          <w:sz w:val="20"/>
          <w:szCs w:val="20"/>
          <w:shd w:val="clear" w:color="auto" w:fill="FFFFFF"/>
        </w:rPr>
        <w:t xml:space="preserve"> </w:t>
      </w:r>
      <w:r w:rsidR="00576F18">
        <w:rPr>
          <w:rFonts w:ascii="Arial" w:hAnsi="Arial" w:cs="Arial"/>
          <w:sz w:val="20"/>
          <w:szCs w:val="20"/>
          <w:shd w:val="clear" w:color="auto" w:fill="FFFFFF"/>
        </w:rPr>
        <w:t xml:space="preserve">&amp; </w:t>
      </w:r>
      <w:proofErr w:type="spellStart"/>
      <w:r w:rsidR="00576F18">
        <w:rPr>
          <w:rFonts w:ascii="Arial" w:hAnsi="Arial" w:cs="Arial"/>
          <w:sz w:val="20"/>
          <w:szCs w:val="20"/>
          <w:shd w:val="clear" w:color="auto" w:fill="FFFFFF"/>
        </w:rPr>
        <w:t>Øien</w:t>
      </w:r>
      <w:proofErr w:type="spellEnd"/>
      <w:r>
        <w:rPr>
          <w:rFonts w:ascii="Arial" w:hAnsi="Arial" w:cs="Arial"/>
          <w:sz w:val="20"/>
          <w:szCs w:val="20"/>
          <w:shd w:val="clear" w:color="auto" w:fill="FFFFFF"/>
        </w:rPr>
        <w:t xml:space="preserve"> </w:t>
      </w:r>
      <w:r w:rsidR="00576F18">
        <w:rPr>
          <w:rFonts w:ascii="Arial" w:hAnsi="Arial" w:cs="Arial"/>
          <w:sz w:val="20"/>
          <w:szCs w:val="20"/>
          <w:shd w:val="clear" w:color="auto" w:fill="FFFFFF"/>
        </w:rPr>
        <w:t>(2020)</w:t>
      </w:r>
      <w:r>
        <w:rPr>
          <w:rFonts w:ascii="Arial" w:hAnsi="Arial" w:cs="Arial"/>
          <w:sz w:val="20"/>
          <w:szCs w:val="20"/>
          <w:shd w:val="clear" w:color="auto" w:fill="FFFFFF"/>
        </w:rPr>
        <w:t>: “</w:t>
      </w:r>
      <w:bookmarkEnd w:id="2"/>
      <w:r w:rsidR="009F3D75" w:rsidRPr="00B065FE">
        <w:rPr>
          <w:i/>
          <w:iCs/>
        </w:rPr>
        <w:t>We have found that the abundance of humpback whales in our study area</w:t>
      </w:r>
      <w:r>
        <w:rPr>
          <w:i/>
          <w:iCs/>
        </w:rPr>
        <w:t xml:space="preserve"> (</w:t>
      </w:r>
      <w:r w:rsidRPr="00B065FE">
        <w:t>E</w:t>
      </w:r>
      <w:r w:rsidR="004E66B4">
        <w:t>d</w:t>
      </w:r>
      <w:r w:rsidRPr="00B065FE">
        <w:t>. Northeast Atlantic</w:t>
      </w:r>
      <w:r>
        <w:rPr>
          <w:i/>
          <w:iCs/>
        </w:rPr>
        <w:t>)</w:t>
      </w:r>
      <w:r w:rsidR="009F3D75" w:rsidRPr="00B065FE">
        <w:rPr>
          <w:i/>
          <w:iCs/>
        </w:rPr>
        <w:t xml:space="preserve"> has increased dramatically since earlier surveys. We estimate 9,749 (CV=0.34, 95% CI: 4,947–19,210) and 12,411 (CV=0.30, 95% CI: 6,847–22,497) humpback whales in 2002–2007 and 2008–2013, respectively. Previously, the survey in 1996–2001 estimated 4,695 (uncorrected, CV=0.39, 95% CI: 2,124–10,378), while the synoptic survey in 1995 estimates just 1,059 (uncorrected CV=0.25, 95% CI: 645–1,738)</w:t>
      </w:r>
      <w:r>
        <w:rPr>
          <w:i/>
          <w:iCs/>
        </w:rPr>
        <w:t>…</w:t>
      </w:r>
      <w:r w:rsidR="009F3D75" w:rsidRPr="00B065FE">
        <w:rPr>
          <w:i/>
          <w:iCs/>
        </w:rPr>
        <w:t xml:space="preserve"> Notably, block NVS was not surveyed in 1995, which estimated the highest abundance of humpback whales in 1996–2001 (3,246 CV=0.51, 95% CI: 1,137–9,264). The consistency we find in our estimates suggests the increase may have stabilized, which is a conclusion that is also supported by the most recent survey-cycle estimate from 2014–2018, published concurrently, of 10,708 (CV=0.39, 95% CI: 4,906–23,370) humpback whale</w:t>
      </w:r>
      <w:r>
        <w:rPr>
          <w:i/>
          <w:iCs/>
        </w:rPr>
        <w:t>…</w:t>
      </w:r>
      <w:r w:rsidRPr="00B065FE">
        <w:rPr>
          <w:i/>
          <w:iCs/>
        </w:rPr>
        <w:t>”</w:t>
      </w:r>
    </w:p>
    <w:p w14:paraId="6FCD0398" w14:textId="77777777" w:rsidR="00136D01" w:rsidRDefault="00136D01">
      <w:pPr>
        <w:rPr>
          <w:b/>
          <w:bCs/>
        </w:rPr>
      </w:pPr>
    </w:p>
    <w:p w14:paraId="370B5079" w14:textId="5C9ACC58" w:rsidR="007B1D5A" w:rsidRPr="001E2BD6" w:rsidRDefault="00037507">
      <w:pPr>
        <w:rPr>
          <w:i/>
          <w:iCs/>
        </w:rPr>
      </w:pPr>
      <w:r w:rsidRPr="001E2BD6">
        <w:rPr>
          <w:i/>
          <w:iCs/>
        </w:rPr>
        <w:t>Harbour porpoise</w:t>
      </w:r>
    </w:p>
    <w:p w14:paraId="439006A8" w14:textId="7613369D" w:rsidR="007B1D5A" w:rsidRDefault="008F1DB2" w:rsidP="007B1D5A">
      <w:pPr>
        <w:rPr>
          <w:rFonts w:ascii="Palatino Linotype" w:hAnsi="Palatino Linotype" w:cs="Palatino Linotype"/>
          <w:color w:val="000000"/>
          <w:sz w:val="20"/>
          <w:szCs w:val="20"/>
        </w:rPr>
      </w:pPr>
      <w:r w:rsidRPr="00C948BC">
        <w:t>According to ICES (202</w:t>
      </w:r>
      <w:r w:rsidR="00463819">
        <w:t>1</w:t>
      </w:r>
      <w:r w:rsidRPr="00C948BC">
        <w:t>):</w:t>
      </w:r>
      <w:r>
        <w:rPr>
          <w:b/>
          <w:bCs/>
        </w:rPr>
        <w:t xml:space="preserve"> “</w:t>
      </w:r>
      <w:r w:rsidR="007B1D5A" w:rsidRPr="00AA1006">
        <w:rPr>
          <w:i/>
          <w:iCs/>
        </w:rPr>
        <w:t xml:space="preserve">The abundance of cetaceans in the North Sea is monitored during aerial and boat-based sightings surveys, with corrections to take account of the detectability of the animals (Hammond et al., 2002). Harbour porpoise population size was assumed to be constant over the period </w:t>
      </w:r>
      <w:r w:rsidRPr="003F15F8">
        <w:t>(Ed. 1963-onwards)</w:t>
      </w:r>
      <w:r w:rsidRPr="00AA1006">
        <w:rPr>
          <w:i/>
          <w:iCs/>
        </w:rPr>
        <w:t xml:space="preserve"> </w:t>
      </w:r>
      <w:r w:rsidR="007B1D5A" w:rsidRPr="00AA1006">
        <w:rPr>
          <w:i/>
          <w:iCs/>
        </w:rPr>
        <w:t>and set to the average of the number of porpoises in the North Sea proper in the two SCANs years (224 100).</w:t>
      </w:r>
      <w:r w:rsidR="00525B4D" w:rsidRPr="00AA1006">
        <w:rPr>
          <w:i/>
          <w:iCs/>
        </w:rPr>
        <w:t xml:space="preserve"> According to </w:t>
      </w:r>
      <w:proofErr w:type="spellStart"/>
      <w:r w:rsidR="00525B4D" w:rsidRPr="00AA1006">
        <w:rPr>
          <w:i/>
          <w:iCs/>
        </w:rPr>
        <w:t>Skern-M</w:t>
      </w:r>
      <w:r w:rsidR="003F15F8">
        <w:rPr>
          <w:i/>
          <w:iCs/>
        </w:rPr>
        <w:t>a</w:t>
      </w:r>
      <w:r w:rsidR="00525B4D" w:rsidRPr="00AA1006">
        <w:rPr>
          <w:i/>
          <w:iCs/>
        </w:rPr>
        <w:t>ur</w:t>
      </w:r>
      <w:r w:rsidR="003F15F8">
        <w:rPr>
          <w:i/>
          <w:iCs/>
        </w:rPr>
        <w:t>i</w:t>
      </w:r>
      <w:r w:rsidR="00525B4D" w:rsidRPr="00AA1006">
        <w:rPr>
          <w:i/>
          <w:iCs/>
        </w:rPr>
        <w:t>t</w:t>
      </w:r>
      <w:r w:rsidR="003F15F8">
        <w:rPr>
          <w:i/>
          <w:iCs/>
        </w:rPr>
        <w:t>z</w:t>
      </w:r>
      <w:r w:rsidR="00525B4D" w:rsidRPr="00AA1006">
        <w:rPr>
          <w:i/>
          <w:iCs/>
        </w:rPr>
        <w:t>en</w:t>
      </w:r>
      <w:proofErr w:type="spellEnd"/>
      <w:r w:rsidR="00525B4D" w:rsidRPr="00AA1006">
        <w:rPr>
          <w:i/>
          <w:iCs/>
        </w:rPr>
        <w:t xml:space="preserve"> et al</w:t>
      </w:r>
      <w:r w:rsidR="003F15F8">
        <w:rPr>
          <w:i/>
          <w:iCs/>
        </w:rPr>
        <w:t>.</w:t>
      </w:r>
      <w:r w:rsidR="00525B4D" w:rsidRPr="00AA1006">
        <w:rPr>
          <w:i/>
          <w:iCs/>
        </w:rPr>
        <w:t xml:space="preserve"> 2022 they consume 3.1 kg per day per individual which gives an annual consumption of about 225 kt per year of which fish is a substantial part in the North Sea.</w:t>
      </w:r>
      <w:r w:rsidR="00525B4D">
        <w:rPr>
          <w:rFonts w:ascii="Palatino Linotype" w:hAnsi="Palatino Linotype" w:cs="Palatino Linotype"/>
          <w:color w:val="000000"/>
          <w:sz w:val="20"/>
          <w:szCs w:val="20"/>
        </w:rPr>
        <w:t xml:space="preserve"> </w:t>
      </w:r>
      <w:r>
        <w:rPr>
          <w:rFonts w:ascii="Palatino Linotype" w:hAnsi="Palatino Linotype" w:cs="Palatino Linotype"/>
          <w:color w:val="000000"/>
          <w:sz w:val="20"/>
          <w:szCs w:val="20"/>
        </w:rPr>
        <w:t>“</w:t>
      </w:r>
    </w:p>
    <w:p w14:paraId="327B7C4F" w14:textId="77777777" w:rsidR="00C948BC" w:rsidRDefault="00C948BC" w:rsidP="007B1D5A">
      <w:pPr>
        <w:rPr>
          <w:rFonts w:ascii="Palatino Linotype" w:hAnsi="Palatino Linotype" w:cs="Palatino Linotype"/>
          <w:color w:val="000000"/>
          <w:sz w:val="20"/>
          <w:szCs w:val="20"/>
        </w:rPr>
      </w:pPr>
    </w:p>
    <w:p w14:paraId="45305546" w14:textId="77777777" w:rsidR="00584D22" w:rsidRDefault="00584D22"/>
    <w:p w14:paraId="0AD8AC5B" w14:textId="77777777" w:rsidR="0094472D" w:rsidRDefault="00FB0D59">
      <w:pPr>
        <w:rPr>
          <w:b/>
          <w:bCs/>
        </w:rPr>
      </w:pPr>
      <w:r>
        <w:rPr>
          <w:b/>
          <w:bCs/>
        </w:rPr>
        <w:t>Conclusion</w:t>
      </w:r>
    </w:p>
    <w:p w14:paraId="5CA4165E" w14:textId="54676BD9" w:rsidR="00E9386A" w:rsidRPr="00E9386A" w:rsidRDefault="00E9386A" w:rsidP="00E9386A">
      <w:bookmarkStart w:id="3" w:name="_Hlk133748486"/>
      <w:r>
        <w:t>M</w:t>
      </w:r>
      <w:r>
        <w:t xml:space="preserve">arine mammals in the ICE, GN, and BS consume 13.4 million tonnes of prey </w:t>
      </w:r>
      <w:r w:rsidR="00394628">
        <w:t xml:space="preserve">per </w:t>
      </w:r>
      <w:r>
        <w:t xml:space="preserve">year. </w:t>
      </w:r>
      <w:r>
        <w:t xml:space="preserve">About half of this is fish </w:t>
      </w:r>
      <w:r w:rsidR="007F7CDC">
        <w:t xml:space="preserve">species </w:t>
      </w:r>
      <w:r>
        <w:t xml:space="preserve">that are </w:t>
      </w:r>
      <w:r w:rsidR="007F7CDC">
        <w:t xml:space="preserve">also </w:t>
      </w:r>
      <w:r>
        <w:t xml:space="preserve">commercial harvested. </w:t>
      </w:r>
      <w:r>
        <w:t xml:space="preserve">Fisheries removed </w:t>
      </w:r>
      <w:r>
        <w:t>4.16</w:t>
      </w:r>
      <w:r>
        <w:t xml:space="preserve"> million tonnes </w:t>
      </w:r>
      <w:r w:rsidR="00394628">
        <w:t xml:space="preserve">per </w:t>
      </w:r>
      <w:r>
        <w:t>year</w:t>
      </w:r>
      <w:r>
        <w:t>. Obviously, changes in marine mammal abundance could influence the fish production of the ecosystem that is available to the commercial fishery</w:t>
      </w:r>
      <w:bookmarkEnd w:id="3"/>
      <w:r>
        <w:t xml:space="preserve">. </w:t>
      </w:r>
      <w:r w:rsidR="0050071F">
        <w:t xml:space="preserve">However, it seems that </w:t>
      </w:r>
      <w:r w:rsidR="007F7CDC">
        <w:t xml:space="preserve">at least </w:t>
      </w:r>
      <w:r w:rsidR="0050071F">
        <w:t>since the 1980s</w:t>
      </w:r>
      <w:r w:rsidR="007F7CDC">
        <w:t>,</w:t>
      </w:r>
      <w:r w:rsidR="0050071F">
        <w:t xml:space="preserve"> the abundances of the major mammal species eating fish</w:t>
      </w:r>
      <w:r w:rsidR="00D37309">
        <w:t>,</w:t>
      </w:r>
      <w:r w:rsidR="0050071F">
        <w:t xml:space="preserve"> has been rather stable. </w:t>
      </w:r>
    </w:p>
    <w:p w14:paraId="3F86AC43" w14:textId="77777777" w:rsidR="005A1CBF" w:rsidRDefault="005A1CBF"/>
    <w:p w14:paraId="71DCD7E7" w14:textId="76C73ABA" w:rsidR="0094472D" w:rsidRDefault="00FB0D59">
      <w:pPr>
        <w:rPr>
          <w:b/>
          <w:bCs/>
        </w:rPr>
      </w:pPr>
      <w:r>
        <w:rPr>
          <w:b/>
          <w:bCs/>
        </w:rPr>
        <w:t>References</w:t>
      </w:r>
    </w:p>
    <w:p w14:paraId="656E86E3" w14:textId="50335472" w:rsidR="00463819" w:rsidRDefault="00D45D43" w:rsidP="00D37309">
      <w:pPr>
        <w:rPr>
          <w:sz w:val="20"/>
          <w:szCs w:val="20"/>
        </w:rPr>
      </w:pPr>
      <w:r w:rsidRPr="00D37309">
        <w:rPr>
          <w:sz w:val="20"/>
          <w:szCs w:val="20"/>
        </w:rPr>
        <w:t>ICES</w:t>
      </w:r>
      <w:r w:rsidR="00463819">
        <w:rPr>
          <w:sz w:val="20"/>
          <w:szCs w:val="20"/>
        </w:rPr>
        <w:t xml:space="preserve">. </w:t>
      </w:r>
      <w:r w:rsidRPr="00D37309">
        <w:rPr>
          <w:sz w:val="20"/>
          <w:szCs w:val="20"/>
        </w:rPr>
        <w:t>2011. Report of the Working Group on Multispecies Assessment Methods (WGSAM), 10–14 October 2011, Woods Hole, USA. ICES CM 2011/SSGSUE:10. 229 pp.</w:t>
      </w:r>
    </w:p>
    <w:p w14:paraId="796B8466" w14:textId="44B487BC" w:rsidR="00E53EC0" w:rsidRDefault="00A42675" w:rsidP="00C40B67">
      <w:pPr>
        <w:rPr>
          <w:sz w:val="20"/>
          <w:szCs w:val="20"/>
        </w:rPr>
      </w:pPr>
      <w:r>
        <w:rPr>
          <w:sz w:val="20"/>
          <w:szCs w:val="20"/>
        </w:rPr>
        <w:t xml:space="preserve">ICES. 2021. Working Group on Multispecies Assessment Methods (WGSAM; outputs from 2020 meeting). ICES Scientific Reports. 3:10. 231 pp. </w:t>
      </w:r>
      <w:hyperlink r:id="rId28" w:history="1">
        <w:r w:rsidR="00036061" w:rsidRPr="00D37309">
          <w:t>https://doi.org/10.17895/ices.pub.7695</w:t>
        </w:r>
      </w:hyperlink>
      <w:r w:rsidR="00463819">
        <w:rPr>
          <w:sz w:val="20"/>
          <w:szCs w:val="20"/>
        </w:rPr>
        <w:t>.</w:t>
      </w:r>
    </w:p>
    <w:p w14:paraId="41B21FAA" w14:textId="5CC814E2" w:rsidR="00B065FE" w:rsidRDefault="00B065FE" w:rsidP="00C40B67">
      <w:pPr>
        <w:rPr>
          <w:sz w:val="20"/>
          <w:szCs w:val="20"/>
        </w:rPr>
      </w:pPr>
      <w:r w:rsidRPr="00B065FE">
        <w:rPr>
          <w:sz w:val="20"/>
          <w:szCs w:val="20"/>
        </w:rPr>
        <w:t xml:space="preserve">Leonard, D. M. &amp; </w:t>
      </w:r>
      <w:proofErr w:type="spellStart"/>
      <w:r w:rsidRPr="00B065FE">
        <w:rPr>
          <w:sz w:val="20"/>
          <w:szCs w:val="20"/>
        </w:rPr>
        <w:t>Øien</w:t>
      </w:r>
      <w:proofErr w:type="spellEnd"/>
      <w:r w:rsidRPr="00B065FE">
        <w:rPr>
          <w:sz w:val="20"/>
          <w:szCs w:val="20"/>
        </w:rPr>
        <w:t>, N. I. (2020).</w:t>
      </w:r>
      <w:r>
        <w:rPr>
          <w:sz w:val="20"/>
          <w:szCs w:val="20"/>
        </w:rPr>
        <w:t xml:space="preserve"> </w:t>
      </w:r>
      <w:r w:rsidRPr="00B065FE">
        <w:rPr>
          <w:sz w:val="20"/>
          <w:szCs w:val="20"/>
        </w:rPr>
        <w:t>Estimated</w:t>
      </w:r>
      <w:r>
        <w:rPr>
          <w:sz w:val="20"/>
          <w:szCs w:val="20"/>
        </w:rPr>
        <w:t xml:space="preserve"> </w:t>
      </w:r>
      <w:r w:rsidRPr="00B065FE">
        <w:rPr>
          <w:sz w:val="20"/>
          <w:szCs w:val="20"/>
        </w:rPr>
        <w:t>Abundances of Cetaceans Species in the Northeast Atlantic from Two Multiyear Surveys Conducted by Norwegian Vessels between 2002–2013. NAMMCO Scientific Publications 11. https://doi.org/10.7557/3.4695</w:t>
      </w:r>
      <w:r w:rsidR="00463819">
        <w:rPr>
          <w:sz w:val="20"/>
          <w:szCs w:val="20"/>
        </w:rPr>
        <w:t>.</w:t>
      </w:r>
    </w:p>
    <w:p w14:paraId="5EF41F31" w14:textId="77777777" w:rsidR="00B065FE" w:rsidRDefault="00B065FE" w:rsidP="00C40B67">
      <w:pPr>
        <w:rPr>
          <w:sz w:val="20"/>
          <w:szCs w:val="20"/>
        </w:rPr>
      </w:pPr>
    </w:p>
    <w:p w14:paraId="72B1C921" w14:textId="7DAD6070" w:rsidR="00036061" w:rsidRDefault="00036061" w:rsidP="00C40B67">
      <w:proofErr w:type="spellStart"/>
      <w:r w:rsidRPr="00036061">
        <w:t>Magera</w:t>
      </w:r>
      <w:proofErr w:type="spellEnd"/>
      <w:r>
        <w:t>.</w:t>
      </w:r>
      <w:r w:rsidRPr="00036061">
        <w:t xml:space="preserve"> AM, Mills </w:t>
      </w:r>
      <w:proofErr w:type="spellStart"/>
      <w:r w:rsidRPr="00036061">
        <w:t>Flemming</w:t>
      </w:r>
      <w:proofErr w:type="spellEnd"/>
      <w:r w:rsidRPr="00036061">
        <w:t xml:space="preserve"> JE, </w:t>
      </w:r>
      <w:proofErr w:type="spellStart"/>
      <w:r w:rsidRPr="00036061">
        <w:t>Kaschner</w:t>
      </w:r>
      <w:proofErr w:type="spellEnd"/>
      <w:r w:rsidRPr="00036061">
        <w:t xml:space="preserve"> K, Christensen LB, </w:t>
      </w:r>
      <w:proofErr w:type="spellStart"/>
      <w:r w:rsidRPr="00036061">
        <w:t>Lotze</w:t>
      </w:r>
      <w:proofErr w:type="spellEnd"/>
      <w:r w:rsidRPr="00036061">
        <w:t xml:space="preserve"> HK (2013)</w:t>
      </w:r>
      <w:r>
        <w:t>.</w:t>
      </w:r>
      <w:r w:rsidRPr="00036061">
        <w:t xml:space="preserve"> Recovery Trends in Marine Mammal Populations. </w:t>
      </w:r>
      <w:proofErr w:type="spellStart"/>
      <w:r w:rsidRPr="00036061">
        <w:t>PLoS</w:t>
      </w:r>
      <w:proofErr w:type="spellEnd"/>
      <w:r w:rsidRPr="00036061">
        <w:t xml:space="preserve"> ONE 8(10): e77908. doi:10.1371/journal.pone.0077908</w:t>
      </w:r>
      <w:r w:rsidR="003F15F8">
        <w:t>.</w:t>
      </w:r>
    </w:p>
    <w:p w14:paraId="724F58D0" w14:textId="346C4D3D" w:rsidR="0094472D" w:rsidRDefault="00AD71D5" w:rsidP="00AD71D5">
      <w:r w:rsidRPr="00D37309">
        <w:rPr>
          <w:lang w:val="da-DK"/>
        </w:rPr>
        <w:t xml:space="preserve">Pike, D.G., </w:t>
      </w:r>
      <w:proofErr w:type="spellStart"/>
      <w:r w:rsidRPr="00D37309">
        <w:rPr>
          <w:lang w:val="da-DK"/>
        </w:rPr>
        <w:t>Gunnlaugsson</w:t>
      </w:r>
      <w:proofErr w:type="spellEnd"/>
      <w:r w:rsidRPr="00D37309">
        <w:rPr>
          <w:lang w:val="da-DK"/>
        </w:rPr>
        <w:t xml:space="preserve">, T., </w:t>
      </w:r>
      <w:proofErr w:type="spellStart"/>
      <w:r w:rsidRPr="00D37309">
        <w:rPr>
          <w:lang w:val="da-DK"/>
        </w:rPr>
        <w:t>Desportes</w:t>
      </w:r>
      <w:proofErr w:type="spellEnd"/>
      <w:r w:rsidRPr="00D37309">
        <w:rPr>
          <w:lang w:val="da-DK"/>
        </w:rPr>
        <w:t xml:space="preserve">, G., Mikkelsen, B., </w:t>
      </w:r>
      <w:proofErr w:type="spellStart"/>
      <w:r w:rsidRPr="00D37309">
        <w:rPr>
          <w:lang w:val="da-DK"/>
        </w:rPr>
        <w:t>Víkingsson</w:t>
      </w:r>
      <w:proofErr w:type="spellEnd"/>
      <w:r w:rsidRPr="00D37309">
        <w:rPr>
          <w:lang w:val="da-DK"/>
        </w:rPr>
        <w:t xml:space="preserve">. </w:t>
      </w:r>
      <w:r>
        <w:t>G.A. &amp; Bloch, D. (2019). Estimates of the Relative Abundance of Long-Finned Pilot</w:t>
      </w:r>
      <w:r>
        <w:t xml:space="preserve"> </w:t>
      </w:r>
      <w:r>
        <w:t>Whales (Globicephala Melas) in the Northeast Atlantic From 1987 to 2015 Indicate No Long-Term Trends. NAMMCO Scientific Publications 11.</w:t>
      </w:r>
      <w:r>
        <w:t xml:space="preserve"> </w:t>
      </w:r>
      <w:r>
        <w:t>https://doi.org/10.7557/3.4643</w:t>
      </w:r>
    </w:p>
    <w:p w14:paraId="0850AFD2" w14:textId="0925795B" w:rsidR="00B065FE" w:rsidRDefault="00B065FE" w:rsidP="00B065FE">
      <w:pPr>
        <w:rPr>
          <w:lang w:val="da-DK"/>
        </w:rPr>
      </w:pPr>
      <w:proofErr w:type="spellStart"/>
      <w:r w:rsidRPr="003F15F8">
        <w:t>Skern-Mauritzen</w:t>
      </w:r>
      <w:proofErr w:type="spellEnd"/>
      <w:r w:rsidRPr="003F15F8">
        <w:t xml:space="preserve">, Mette, Ulf </w:t>
      </w:r>
      <w:proofErr w:type="spellStart"/>
      <w:r w:rsidRPr="003F15F8">
        <w:t>Lindstrøm</w:t>
      </w:r>
      <w:proofErr w:type="spellEnd"/>
      <w:r w:rsidRPr="003F15F8">
        <w:t xml:space="preserve">, Martin </w:t>
      </w:r>
      <w:proofErr w:type="spellStart"/>
      <w:r w:rsidRPr="003F15F8">
        <w:t>Biuw</w:t>
      </w:r>
      <w:proofErr w:type="spellEnd"/>
      <w:r w:rsidRPr="003F15F8">
        <w:t xml:space="preserve">, </w:t>
      </w:r>
      <w:proofErr w:type="spellStart"/>
      <w:r w:rsidRPr="003F15F8">
        <w:t>Bjarki</w:t>
      </w:r>
      <w:proofErr w:type="spellEnd"/>
      <w:r w:rsidRPr="003F15F8">
        <w:t xml:space="preserve"> </w:t>
      </w:r>
      <w:proofErr w:type="spellStart"/>
      <w:r w:rsidRPr="003F15F8">
        <w:t>Elvarsson</w:t>
      </w:r>
      <w:proofErr w:type="spellEnd"/>
      <w:r w:rsidRPr="003F15F8">
        <w:t xml:space="preserve">, </w:t>
      </w:r>
      <w:proofErr w:type="spellStart"/>
      <w:r w:rsidRPr="003F15F8">
        <w:t>Thorvaldur</w:t>
      </w:r>
      <w:proofErr w:type="spellEnd"/>
      <w:r w:rsidRPr="003F15F8">
        <w:t xml:space="preserve"> </w:t>
      </w:r>
      <w:proofErr w:type="spellStart"/>
      <w:r w:rsidRPr="003F15F8">
        <w:t>Gunnlaugsson</w:t>
      </w:r>
      <w:proofErr w:type="spellEnd"/>
      <w:r w:rsidRPr="003F15F8">
        <w:t xml:space="preserve">, Tore </w:t>
      </w:r>
      <w:proofErr w:type="spellStart"/>
      <w:r w:rsidRPr="003F15F8">
        <w:t>Haug</w:t>
      </w:r>
      <w:proofErr w:type="spellEnd"/>
      <w:r w:rsidRPr="003F15F8">
        <w:t xml:space="preserve">, Kit M. Kovacs, Christian </w:t>
      </w:r>
      <w:proofErr w:type="spellStart"/>
      <w:r w:rsidRPr="003F15F8">
        <w:t>Lydersen</w:t>
      </w:r>
      <w:proofErr w:type="spellEnd"/>
      <w:r w:rsidRPr="003F15F8">
        <w:t xml:space="preserve">, Margaret M. McBride, Bjarni Mikkelsen, Nils </w:t>
      </w:r>
      <w:proofErr w:type="spellStart"/>
      <w:r w:rsidRPr="003F15F8">
        <w:t>Øien</w:t>
      </w:r>
      <w:proofErr w:type="spellEnd"/>
      <w:r w:rsidRPr="003F15F8">
        <w:t xml:space="preserve"> and </w:t>
      </w:r>
      <w:proofErr w:type="spellStart"/>
      <w:r w:rsidRPr="003F15F8">
        <w:t>Gísli</w:t>
      </w:r>
      <w:proofErr w:type="spellEnd"/>
      <w:r w:rsidRPr="003F15F8">
        <w:t xml:space="preserve"> </w:t>
      </w:r>
      <w:proofErr w:type="spellStart"/>
      <w:r w:rsidRPr="003F15F8">
        <w:t>Víkingsson</w:t>
      </w:r>
      <w:proofErr w:type="spellEnd"/>
      <w:r w:rsidRPr="003F15F8">
        <w:t xml:space="preserve">. </w:t>
      </w:r>
      <w:r w:rsidRPr="00D37309">
        <w:rPr>
          <w:lang w:val="da-DK"/>
        </w:rPr>
        <w:t>2022. Marine mammal consumption and fisheries removals in the Nordic and Barents Seas.   ICES Journal of Marine Science, 2022, 0, 1–21. DOI: 10.1093/</w:t>
      </w:r>
      <w:proofErr w:type="spellStart"/>
      <w:r w:rsidRPr="00D37309">
        <w:rPr>
          <w:lang w:val="da-DK"/>
        </w:rPr>
        <w:t>icesjms</w:t>
      </w:r>
      <w:proofErr w:type="spellEnd"/>
      <w:r w:rsidRPr="00D37309">
        <w:rPr>
          <w:lang w:val="da-DK"/>
        </w:rPr>
        <w:t>/fsac096.</w:t>
      </w:r>
    </w:p>
    <w:p w14:paraId="37409801" w14:textId="7752C347" w:rsidR="005921E5" w:rsidRPr="00D37309" w:rsidRDefault="005921E5" w:rsidP="00B065FE">
      <w:pPr>
        <w:rPr>
          <w:lang w:val="da-DK"/>
        </w:rPr>
      </w:pPr>
      <w:proofErr w:type="spellStart"/>
      <w:r w:rsidRPr="005921E5">
        <w:t>Víkingsson</w:t>
      </w:r>
      <w:proofErr w:type="spellEnd"/>
      <w:r w:rsidRPr="005921E5">
        <w:t xml:space="preserve">, G.A., Pike, D.G., </w:t>
      </w:r>
      <w:proofErr w:type="spellStart"/>
      <w:r w:rsidRPr="005921E5">
        <w:t>Desportes</w:t>
      </w:r>
      <w:proofErr w:type="spellEnd"/>
      <w:r w:rsidRPr="005921E5">
        <w:t xml:space="preserve">, G., </w:t>
      </w:r>
      <w:proofErr w:type="spellStart"/>
      <w:r w:rsidRPr="005921E5">
        <w:t>Øien</w:t>
      </w:r>
      <w:proofErr w:type="spellEnd"/>
      <w:r w:rsidRPr="005921E5">
        <w:t xml:space="preserve">, N., </w:t>
      </w:r>
      <w:proofErr w:type="spellStart"/>
      <w:r w:rsidRPr="005921E5">
        <w:t>Gunnlaugsson</w:t>
      </w:r>
      <w:proofErr w:type="spellEnd"/>
      <w:r w:rsidRPr="005921E5">
        <w:t xml:space="preserve">, Þ. and Bloch, D. (2009). Distribution and abundance of fin whales (Balaenoptera physalus) in the Northeast Atlantic sightings surveys 1987- 2001. </w:t>
      </w:r>
      <w:r w:rsidRPr="005921E5">
        <w:rPr>
          <w:lang w:val="da-DK"/>
        </w:rPr>
        <w:t>NAMMCO Scientific Publications, 7, 49-72. https://doi.org/10.7557/3.2705</w:t>
      </w:r>
      <w:r>
        <w:rPr>
          <w:lang w:val="da-DK"/>
        </w:rPr>
        <w:t>.</w:t>
      </w:r>
    </w:p>
    <w:p w14:paraId="690F1E5E" w14:textId="77777777" w:rsidR="0094472D" w:rsidRDefault="0094472D"/>
    <w:sectPr w:rsidR="0094472D">
      <w:headerReference w:type="default" r:id="rId29"/>
      <w:footerReference w:type="default" r:id="rId30"/>
      <w:pgSz w:w="11906" w:h="16838"/>
      <w:pgMar w:top="1701" w:right="1134" w:bottom="1701" w:left="1134" w:header="708" w:footer="708" w:gutter="0"/>
      <w:cols w:space="720"/>
      <w:formProt w:val="0"/>
      <w:docGrid w:linePitch="36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6202D5" w14:textId="77777777" w:rsidR="006861D9" w:rsidRDefault="006861D9">
      <w:pPr>
        <w:spacing w:after="0" w:line="240" w:lineRule="auto"/>
      </w:pPr>
      <w:r>
        <w:separator/>
      </w:r>
    </w:p>
  </w:endnote>
  <w:endnote w:type="continuationSeparator" w:id="0">
    <w:p w14:paraId="3C63B747" w14:textId="77777777" w:rsidR="006861D9" w:rsidRDefault="006861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Liberation Sans">
    <w:altName w:val="Arial"/>
    <w:charset w:val="01"/>
    <w:family w:val="swiss"/>
    <w:pitch w:val="variable"/>
  </w:font>
  <w:font w:name="Noto Sans CJK SC">
    <w:panose1 w:val="00000000000000000000"/>
    <w:charset w:val="00"/>
    <w:family w:val="roman"/>
    <w:notTrueType/>
    <w:pitch w:val="default"/>
  </w:font>
  <w:font w:name="Lohit Devanagari">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Abel">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DA47BB" w14:textId="77777777" w:rsidR="0094472D" w:rsidRDefault="0094472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07DDC6" w14:textId="77777777" w:rsidR="006861D9" w:rsidRDefault="006861D9">
      <w:pPr>
        <w:spacing w:after="0" w:line="240" w:lineRule="auto"/>
      </w:pPr>
      <w:r>
        <w:separator/>
      </w:r>
    </w:p>
  </w:footnote>
  <w:footnote w:type="continuationSeparator" w:id="0">
    <w:p w14:paraId="15C3F551" w14:textId="77777777" w:rsidR="006861D9" w:rsidRDefault="006861D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E2C52D" w14:textId="4CC400EA" w:rsidR="0094472D" w:rsidRDefault="0094472D">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472D"/>
    <w:rsid w:val="00002CD6"/>
    <w:rsid w:val="00007619"/>
    <w:rsid w:val="000213DC"/>
    <w:rsid w:val="0002191F"/>
    <w:rsid w:val="00036061"/>
    <w:rsid w:val="00037507"/>
    <w:rsid w:val="0004432F"/>
    <w:rsid w:val="00053F07"/>
    <w:rsid w:val="000552DB"/>
    <w:rsid w:val="00055EC8"/>
    <w:rsid w:val="00061273"/>
    <w:rsid w:val="00063923"/>
    <w:rsid w:val="000653F6"/>
    <w:rsid w:val="000842B7"/>
    <w:rsid w:val="00086D4F"/>
    <w:rsid w:val="0008700F"/>
    <w:rsid w:val="00094B5C"/>
    <w:rsid w:val="0009666E"/>
    <w:rsid w:val="000B2E49"/>
    <w:rsid w:val="000C7787"/>
    <w:rsid w:val="000D1932"/>
    <w:rsid w:val="000D1B91"/>
    <w:rsid w:val="000F04DE"/>
    <w:rsid w:val="000F4749"/>
    <w:rsid w:val="000F478D"/>
    <w:rsid w:val="001115E2"/>
    <w:rsid w:val="0012167E"/>
    <w:rsid w:val="0013197E"/>
    <w:rsid w:val="00134B27"/>
    <w:rsid w:val="00136D01"/>
    <w:rsid w:val="001453F8"/>
    <w:rsid w:val="001456CB"/>
    <w:rsid w:val="00145963"/>
    <w:rsid w:val="0016015F"/>
    <w:rsid w:val="00164CED"/>
    <w:rsid w:val="00182F67"/>
    <w:rsid w:val="00190C61"/>
    <w:rsid w:val="0019229F"/>
    <w:rsid w:val="001966B4"/>
    <w:rsid w:val="00196998"/>
    <w:rsid w:val="001971DD"/>
    <w:rsid w:val="001A6C04"/>
    <w:rsid w:val="001B302A"/>
    <w:rsid w:val="001E2BD6"/>
    <w:rsid w:val="00207073"/>
    <w:rsid w:val="002204FC"/>
    <w:rsid w:val="0025659F"/>
    <w:rsid w:val="0029279E"/>
    <w:rsid w:val="002A44CB"/>
    <w:rsid w:val="002A4DC0"/>
    <w:rsid w:val="002D4824"/>
    <w:rsid w:val="002E0683"/>
    <w:rsid w:val="002E6A13"/>
    <w:rsid w:val="00312A3A"/>
    <w:rsid w:val="00317C7F"/>
    <w:rsid w:val="003210C5"/>
    <w:rsid w:val="00324655"/>
    <w:rsid w:val="0034524A"/>
    <w:rsid w:val="00360B9C"/>
    <w:rsid w:val="00374ABF"/>
    <w:rsid w:val="0038267C"/>
    <w:rsid w:val="00384CCD"/>
    <w:rsid w:val="00391C9D"/>
    <w:rsid w:val="00392195"/>
    <w:rsid w:val="00393059"/>
    <w:rsid w:val="00394628"/>
    <w:rsid w:val="003A16AC"/>
    <w:rsid w:val="003A69DF"/>
    <w:rsid w:val="003A7F79"/>
    <w:rsid w:val="003D1459"/>
    <w:rsid w:val="003D14D9"/>
    <w:rsid w:val="003F15F8"/>
    <w:rsid w:val="0041406B"/>
    <w:rsid w:val="00420668"/>
    <w:rsid w:val="00437D7E"/>
    <w:rsid w:val="004605D4"/>
    <w:rsid w:val="00463819"/>
    <w:rsid w:val="00474DB3"/>
    <w:rsid w:val="00475E13"/>
    <w:rsid w:val="004A085C"/>
    <w:rsid w:val="004B0A65"/>
    <w:rsid w:val="004B43D8"/>
    <w:rsid w:val="004C05BF"/>
    <w:rsid w:val="004D0CB2"/>
    <w:rsid w:val="004D54D5"/>
    <w:rsid w:val="004D56EE"/>
    <w:rsid w:val="004E66B4"/>
    <w:rsid w:val="0050071F"/>
    <w:rsid w:val="00504CE1"/>
    <w:rsid w:val="0050613C"/>
    <w:rsid w:val="005160A4"/>
    <w:rsid w:val="00525B4D"/>
    <w:rsid w:val="00551984"/>
    <w:rsid w:val="00560A09"/>
    <w:rsid w:val="00561308"/>
    <w:rsid w:val="005625C3"/>
    <w:rsid w:val="00576F18"/>
    <w:rsid w:val="005806AD"/>
    <w:rsid w:val="00582921"/>
    <w:rsid w:val="00584D22"/>
    <w:rsid w:val="005921E5"/>
    <w:rsid w:val="005A1CBF"/>
    <w:rsid w:val="005B1785"/>
    <w:rsid w:val="005B3EA3"/>
    <w:rsid w:val="005C10AA"/>
    <w:rsid w:val="005C6252"/>
    <w:rsid w:val="005E087E"/>
    <w:rsid w:val="005E4BBE"/>
    <w:rsid w:val="005F6CC3"/>
    <w:rsid w:val="00603D4F"/>
    <w:rsid w:val="00622385"/>
    <w:rsid w:val="00631A70"/>
    <w:rsid w:val="00646484"/>
    <w:rsid w:val="00650BF0"/>
    <w:rsid w:val="00672D46"/>
    <w:rsid w:val="0067569D"/>
    <w:rsid w:val="00685632"/>
    <w:rsid w:val="006861D9"/>
    <w:rsid w:val="006863B0"/>
    <w:rsid w:val="00694CD8"/>
    <w:rsid w:val="0069529F"/>
    <w:rsid w:val="006A01EF"/>
    <w:rsid w:val="006A1731"/>
    <w:rsid w:val="006A7522"/>
    <w:rsid w:val="006B0510"/>
    <w:rsid w:val="006C41AC"/>
    <w:rsid w:val="006D560D"/>
    <w:rsid w:val="006D73E7"/>
    <w:rsid w:val="006D7446"/>
    <w:rsid w:val="006E0F1E"/>
    <w:rsid w:val="006E5339"/>
    <w:rsid w:val="006E5703"/>
    <w:rsid w:val="006E6EC9"/>
    <w:rsid w:val="006F3779"/>
    <w:rsid w:val="00737B28"/>
    <w:rsid w:val="0074766D"/>
    <w:rsid w:val="007676CE"/>
    <w:rsid w:val="007833F4"/>
    <w:rsid w:val="00792889"/>
    <w:rsid w:val="00794D24"/>
    <w:rsid w:val="00796B41"/>
    <w:rsid w:val="007B1D5A"/>
    <w:rsid w:val="007B59CF"/>
    <w:rsid w:val="007B7CAC"/>
    <w:rsid w:val="007C2774"/>
    <w:rsid w:val="007C362F"/>
    <w:rsid w:val="007D3170"/>
    <w:rsid w:val="007F57B7"/>
    <w:rsid w:val="007F63FD"/>
    <w:rsid w:val="007F7CDC"/>
    <w:rsid w:val="00810EE2"/>
    <w:rsid w:val="0082547B"/>
    <w:rsid w:val="0082661E"/>
    <w:rsid w:val="008322AC"/>
    <w:rsid w:val="00837B59"/>
    <w:rsid w:val="00845137"/>
    <w:rsid w:val="0085126D"/>
    <w:rsid w:val="00855928"/>
    <w:rsid w:val="00857D4F"/>
    <w:rsid w:val="00866939"/>
    <w:rsid w:val="00871297"/>
    <w:rsid w:val="0088752E"/>
    <w:rsid w:val="00892058"/>
    <w:rsid w:val="00895764"/>
    <w:rsid w:val="008B2297"/>
    <w:rsid w:val="008B5FDF"/>
    <w:rsid w:val="008C621E"/>
    <w:rsid w:val="008C7849"/>
    <w:rsid w:val="008D5BB2"/>
    <w:rsid w:val="008E07EB"/>
    <w:rsid w:val="008E4DF8"/>
    <w:rsid w:val="008F027D"/>
    <w:rsid w:val="008F1DB2"/>
    <w:rsid w:val="008F3747"/>
    <w:rsid w:val="00902A80"/>
    <w:rsid w:val="0091128B"/>
    <w:rsid w:val="009151CA"/>
    <w:rsid w:val="00916010"/>
    <w:rsid w:val="009404FE"/>
    <w:rsid w:val="0094472D"/>
    <w:rsid w:val="00965A90"/>
    <w:rsid w:val="00967326"/>
    <w:rsid w:val="009703BD"/>
    <w:rsid w:val="009750AE"/>
    <w:rsid w:val="00983E65"/>
    <w:rsid w:val="009862BD"/>
    <w:rsid w:val="00994E0C"/>
    <w:rsid w:val="009977EE"/>
    <w:rsid w:val="009E2124"/>
    <w:rsid w:val="009F3D75"/>
    <w:rsid w:val="00A04FC2"/>
    <w:rsid w:val="00A201D6"/>
    <w:rsid w:val="00A42675"/>
    <w:rsid w:val="00A43599"/>
    <w:rsid w:val="00A657EA"/>
    <w:rsid w:val="00A80D22"/>
    <w:rsid w:val="00A82856"/>
    <w:rsid w:val="00A841A5"/>
    <w:rsid w:val="00A85585"/>
    <w:rsid w:val="00A910E7"/>
    <w:rsid w:val="00A94466"/>
    <w:rsid w:val="00AA0DB9"/>
    <w:rsid w:val="00AA1006"/>
    <w:rsid w:val="00AB0612"/>
    <w:rsid w:val="00AB1C0D"/>
    <w:rsid w:val="00AB2F06"/>
    <w:rsid w:val="00AB5A50"/>
    <w:rsid w:val="00AD3B6A"/>
    <w:rsid w:val="00AD71D5"/>
    <w:rsid w:val="00AE1E1B"/>
    <w:rsid w:val="00AE7985"/>
    <w:rsid w:val="00AF09DD"/>
    <w:rsid w:val="00AF546A"/>
    <w:rsid w:val="00B043DF"/>
    <w:rsid w:val="00B065FE"/>
    <w:rsid w:val="00B17ACA"/>
    <w:rsid w:val="00B207A5"/>
    <w:rsid w:val="00B247DF"/>
    <w:rsid w:val="00B75E36"/>
    <w:rsid w:val="00B90C6D"/>
    <w:rsid w:val="00BA0A66"/>
    <w:rsid w:val="00BA12F2"/>
    <w:rsid w:val="00BC51E7"/>
    <w:rsid w:val="00C10BF0"/>
    <w:rsid w:val="00C128C1"/>
    <w:rsid w:val="00C155D3"/>
    <w:rsid w:val="00C40B67"/>
    <w:rsid w:val="00C424AF"/>
    <w:rsid w:val="00C45E4B"/>
    <w:rsid w:val="00C52E08"/>
    <w:rsid w:val="00C540B1"/>
    <w:rsid w:val="00C542AB"/>
    <w:rsid w:val="00C722F6"/>
    <w:rsid w:val="00C84BC8"/>
    <w:rsid w:val="00C948BC"/>
    <w:rsid w:val="00CB173D"/>
    <w:rsid w:val="00CB3AEB"/>
    <w:rsid w:val="00CB7EB9"/>
    <w:rsid w:val="00CC15B0"/>
    <w:rsid w:val="00CC3C0E"/>
    <w:rsid w:val="00CD257D"/>
    <w:rsid w:val="00CF370F"/>
    <w:rsid w:val="00D0262C"/>
    <w:rsid w:val="00D37309"/>
    <w:rsid w:val="00D45D43"/>
    <w:rsid w:val="00D54080"/>
    <w:rsid w:val="00D5749A"/>
    <w:rsid w:val="00D67AFB"/>
    <w:rsid w:val="00D826F2"/>
    <w:rsid w:val="00DB0C09"/>
    <w:rsid w:val="00DB1B0A"/>
    <w:rsid w:val="00DC460C"/>
    <w:rsid w:val="00DE0E81"/>
    <w:rsid w:val="00E06A3A"/>
    <w:rsid w:val="00E205E1"/>
    <w:rsid w:val="00E33585"/>
    <w:rsid w:val="00E3382C"/>
    <w:rsid w:val="00E41405"/>
    <w:rsid w:val="00E52A92"/>
    <w:rsid w:val="00E53EC0"/>
    <w:rsid w:val="00E83D7E"/>
    <w:rsid w:val="00E9386A"/>
    <w:rsid w:val="00E94AF4"/>
    <w:rsid w:val="00EA15C2"/>
    <w:rsid w:val="00EA32F2"/>
    <w:rsid w:val="00EA507C"/>
    <w:rsid w:val="00EA615E"/>
    <w:rsid w:val="00EB141D"/>
    <w:rsid w:val="00EC24EC"/>
    <w:rsid w:val="00EC4CF5"/>
    <w:rsid w:val="00EC5037"/>
    <w:rsid w:val="00ED4899"/>
    <w:rsid w:val="00EF061B"/>
    <w:rsid w:val="00F023EB"/>
    <w:rsid w:val="00F130AF"/>
    <w:rsid w:val="00F404DE"/>
    <w:rsid w:val="00F40EBF"/>
    <w:rsid w:val="00F60304"/>
    <w:rsid w:val="00F63AF1"/>
    <w:rsid w:val="00F64B97"/>
    <w:rsid w:val="00F80544"/>
    <w:rsid w:val="00FA59A5"/>
    <w:rsid w:val="00FA70E5"/>
    <w:rsid w:val="00FB0D59"/>
    <w:rsid w:val="00FB7CB2"/>
    <w:rsid w:val="00FE073F"/>
    <w:rsid w:val="00FE4479"/>
  </w:rsids>
  <m:mathPr>
    <m:mathFont m:val="Cambria Math"/>
    <m:brkBin m:val="before"/>
    <m:brkBinSub m:val="--"/>
    <m:smallFrac m:val="0"/>
    <m:dispDef/>
    <m:lMargin m:val="0"/>
    <m:rMargin m:val="0"/>
    <m:defJc m:val="centerGroup"/>
    <m:wrapIndent m:val="1440"/>
    <m:intLim m:val="subSup"/>
    <m:naryLim m:val="undOvr"/>
  </m:mathPr>
  <w:themeFontLang w:val="en-GB" w:eastAsia="" w:bid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0FEF6F"/>
  <w15:docId w15:val="{04F1FC49-11C9-4B64-8388-C144CF7B8B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InternetLink">
    <w:name w:val="Internet Link"/>
    <w:basedOn w:val="DefaultParagraphFont"/>
    <w:uiPriority w:val="99"/>
    <w:unhideWhenUsed/>
    <w:rsid w:val="003D4838"/>
    <w:rPr>
      <w:color w:val="0563C1" w:themeColor="hyperlink"/>
      <w:u w:val="single"/>
    </w:rPr>
  </w:style>
  <w:style w:type="character" w:customStyle="1" w:styleId="BalloonTextChar">
    <w:name w:val="Balloon Text Char"/>
    <w:basedOn w:val="DefaultParagraphFont"/>
    <w:link w:val="BalloonText"/>
    <w:uiPriority w:val="99"/>
    <w:semiHidden/>
    <w:qFormat/>
    <w:rsid w:val="0016252E"/>
    <w:rPr>
      <w:rFonts w:ascii="Segoe UI" w:hAnsi="Segoe UI" w:cs="Segoe UI"/>
      <w:sz w:val="18"/>
      <w:szCs w:val="18"/>
    </w:rPr>
  </w:style>
  <w:style w:type="character" w:customStyle="1" w:styleId="HeaderChar">
    <w:name w:val="Header Char"/>
    <w:basedOn w:val="DefaultParagraphFont"/>
    <w:link w:val="Header"/>
    <w:uiPriority w:val="99"/>
    <w:qFormat/>
    <w:rsid w:val="00796877"/>
  </w:style>
  <w:style w:type="character" w:customStyle="1" w:styleId="FooterChar">
    <w:name w:val="Footer Char"/>
    <w:basedOn w:val="DefaultParagraphFont"/>
    <w:link w:val="Footer"/>
    <w:uiPriority w:val="99"/>
    <w:qFormat/>
    <w:rsid w:val="00796877"/>
  </w:style>
  <w:style w:type="character" w:styleId="UnresolvedMention">
    <w:name w:val="Unresolved Mention"/>
    <w:basedOn w:val="DefaultParagraphFont"/>
    <w:uiPriority w:val="99"/>
    <w:semiHidden/>
    <w:unhideWhenUsed/>
    <w:qFormat/>
    <w:rsid w:val="00BC5527"/>
    <w:rPr>
      <w:color w:val="605E5C"/>
      <w:shd w:val="clear" w:color="auto" w:fill="E1DFDD"/>
    </w:rPr>
  </w:style>
  <w:style w:type="paragraph" w:customStyle="1" w:styleId="Heading">
    <w:name w:val="Heading"/>
    <w:basedOn w:val="Normal"/>
    <w:next w:val="BodyText"/>
    <w:qFormat/>
    <w:pPr>
      <w:keepNext/>
      <w:spacing w:before="240" w:after="120"/>
    </w:pPr>
    <w:rPr>
      <w:rFonts w:ascii="Liberation Sans" w:eastAsia="Noto Sans CJK SC" w:hAnsi="Liberation Sans" w:cs="Lohit Devanagari"/>
      <w:sz w:val="28"/>
      <w:szCs w:val="28"/>
    </w:rPr>
  </w:style>
  <w:style w:type="paragraph" w:styleId="BodyText">
    <w:name w:val="Body Text"/>
    <w:basedOn w:val="Normal"/>
    <w:pPr>
      <w:spacing w:after="140" w:line="276" w:lineRule="auto"/>
    </w:pPr>
  </w:style>
  <w:style w:type="paragraph" w:styleId="List">
    <w:name w:val="List"/>
    <w:basedOn w:val="BodyText"/>
    <w:rPr>
      <w:rFonts w:cs="Lohit Devanagari"/>
    </w:rPr>
  </w:style>
  <w:style w:type="paragraph" w:styleId="Caption">
    <w:name w:val="caption"/>
    <w:basedOn w:val="Normal"/>
    <w:qFormat/>
    <w:pPr>
      <w:suppressLineNumbers/>
      <w:spacing w:before="120" w:after="120"/>
    </w:pPr>
    <w:rPr>
      <w:rFonts w:cs="Lohit Devanagari"/>
      <w:i/>
      <w:iCs/>
      <w:sz w:val="24"/>
      <w:szCs w:val="24"/>
    </w:rPr>
  </w:style>
  <w:style w:type="paragraph" w:customStyle="1" w:styleId="Index">
    <w:name w:val="Index"/>
    <w:basedOn w:val="Normal"/>
    <w:qFormat/>
    <w:pPr>
      <w:suppressLineNumbers/>
    </w:pPr>
    <w:rPr>
      <w:rFonts w:cs="Lohit Devanagari"/>
    </w:rPr>
  </w:style>
  <w:style w:type="paragraph" w:styleId="BalloonText">
    <w:name w:val="Balloon Text"/>
    <w:basedOn w:val="Normal"/>
    <w:link w:val="BalloonTextChar"/>
    <w:uiPriority w:val="99"/>
    <w:semiHidden/>
    <w:unhideWhenUsed/>
    <w:qFormat/>
    <w:rsid w:val="0016252E"/>
    <w:pPr>
      <w:spacing w:after="0" w:line="240" w:lineRule="auto"/>
    </w:pPr>
    <w:rPr>
      <w:rFonts w:ascii="Segoe UI" w:hAnsi="Segoe UI" w:cs="Segoe UI"/>
      <w:sz w:val="18"/>
      <w:szCs w:val="18"/>
    </w:rPr>
  </w:style>
  <w:style w:type="paragraph" w:customStyle="1" w:styleId="HeaderandFooter">
    <w:name w:val="Header and Footer"/>
    <w:basedOn w:val="Normal"/>
    <w:qFormat/>
  </w:style>
  <w:style w:type="paragraph" w:styleId="Header">
    <w:name w:val="header"/>
    <w:basedOn w:val="Normal"/>
    <w:link w:val="HeaderChar"/>
    <w:uiPriority w:val="99"/>
    <w:unhideWhenUsed/>
    <w:rsid w:val="00796877"/>
    <w:pPr>
      <w:tabs>
        <w:tab w:val="center" w:pos="4819"/>
        <w:tab w:val="right" w:pos="9638"/>
      </w:tabs>
      <w:spacing w:after="0" w:line="240" w:lineRule="auto"/>
    </w:pPr>
  </w:style>
  <w:style w:type="paragraph" w:styleId="Footer">
    <w:name w:val="footer"/>
    <w:basedOn w:val="Normal"/>
    <w:link w:val="FooterChar"/>
    <w:uiPriority w:val="99"/>
    <w:unhideWhenUsed/>
    <w:rsid w:val="00796877"/>
    <w:pPr>
      <w:tabs>
        <w:tab w:val="center" w:pos="4819"/>
        <w:tab w:val="right" w:pos="9638"/>
      </w:tabs>
      <w:spacing w:after="0" w:line="240" w:lineRule="auto"/>
    </w:pPr>
  </w:style>
  <w:style w:type="table" w:styleId="TableGrid">
    <w:name w:val="Table Grid"/>
    <w:basedOn w:val="TableNormal"/>
    <w:uiPriority w:val="39"/>
    <w:rsid w:val="00474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customStyle="1" w:styleId="Default">
    <w:name w:val="Default"/>
    <w:rsid w:val="000842B7"/>
    <w:pPr>
      <w:autoSpaceDE w:val="0"/>
      <w:autoSpaceDN w:val="0"/>
      <w:adjustRightInd w:val="0"/>
    </w:pPr>
    <w:rPr>
      <w:rFonts w:ascii="Calibri" w:hAnsi="Calibri" w:cs="Calibri"/>
      <w:color w:val="000000"/>
      <w:sz w:val="24"/>
      <w:szCs w:val="24"/>
    </w:rPr>
  </w:style>
  <w:style w:type="character" w:styleId="Hyperlink">
    <w:name w:val="Hyperlink"/>
    <w:basedOn w:val="DefaultParagraphFont"/>
    <w:uiPriority w:val="99"/>
    <w:unhideWhenUsed/>
    <w:rsid w:val="000B2E49"/>
    <w:rPr>
      <w:color w:val="0563C1" w:themeColor="hyperlink"/>
      <w:u w:val="single"/>
    </w:rPr>
  </w:style>
  <w:style w:type="paragraph" w:styleId="Revision">
    <w:name w:val="Revision"/>
    <w:hidden/>
    <w:uiPriority w:val="99"/>
    <w:semiHidden/>
    <w:rsid w:val="007D31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405503">
      <w:bodyDiv w:val="1"/>
      <w:marLeft w:val="0"/>
      <w:marRight w:val="0"/>
      <w:marTop w:val="0"/>
      <w:marBottom w:val="0"/>
      <w:divBdr>
        <w:top w:val="none" w:sz="0" w:space="0" w:color="auto"/>
        <w:left w:val="none" w:sz="0" w:space="0" w:color="auto"/>
        <w:bottom w:val="none" w:sz="0" w:space="0" w:color="auto"/>
        <w:right w:val="none" w:sz="0" w:space="0" w:color="auto"/>
      </w:divBdr>
    </w:div>
    <w:div w:id="345327825">
      <w:bodyDiv w:val="1"/>
      <w:marLeft w:val="0"/>
      <w:marRight w:val="0"/>
      <w:marTop w:val="0"/>
      <w:marBottom w:val="0"/>
      <w:divBdr>
        <w:top w:val="none" w:sz="0" w:space="0" w:color="auto"/>
        <w:left w:val="none" w:sz="0" w:space="0" w:color="auto"/>
        <w:bottom w:val="none" w:sz="0" w:space="0" w:color="auto"/>
        <w:right w:val="none" w:sz="0" w:space="0" w:color="auto"/>
      </w:divBdr>
    </w:div>
    <w:div w:id="364864756">
      <w:bodyDiv w:val="1"/>
      <w:marLeft w:val="0"/>
      <w:marRight w:val="0"/>
      <w:marTop w:val="0"/>
      <w:marBottom w:val="0"/>
      <w:divBdr>
        <w:top w:val="none" w:sz="0" w:space="0" w:color="auto"/>
        <w:left w:val="none" w:sz="0" w:space="0" w:color="auto"/>
        <w:bottom w:val="none" w:sz="0" w:space="0" w:color="auto"/>
        <w:right w:val="none" w:sz="0" w:space="0" w:color="auto"/>
      </w:divBdr>
    </w:div>
    <w:div w:id="475072820">
      <w:bodyDiv w:val="1"/>
      <w:marLeft w:val="0"/>
      <w:marRight w:val="0"/>
      <w:marTop w:val="0"/>
      <w:marBottom w:val="0"/>
      <w:divBdr>
        <w:top w:val="none" w:sz="0" w:space="0" w:color="auto"/>
        <w:left w:val="none" w:sz="0" w:space="0" w:color="auto"/>
        <w:bottom w:val="none" w:sz="0" w:space="0" w:color="auto"/>
        <w:right w:val="none" w:sz="0" w:space="0" w:color="auto"/>
      </w:divBdr>
    </w:div>
    <w:div w:id="681053552">
      <w:bodyDiv w:val="1"/>
      <w:marLeft w:val="0"/>
      <w:marRight w:val="0"/>
      <w:marTop w:val="0"/>
      <w:marBottom w:val="0"/>
      <w:divBdr>
        <w:top w:val="none" w:sz="0" w:space="0" w:color="auto"/>
        <w:left w:val="none" w:sz="0" w:space="0" w:color="auto"/>
        <w:bottom w:val="none" w:sz="0" w:space="0" w:color="auto"/>
        <w:right w:val="none" w:sz="0" w:space="0" w:color="auto"/>
      </w:divBdr>
    </w:div>
    <w:div w:id="687364739">
      <w:bodyDiv w:val="1"/>
      <w:marLeft w:val="0"/>
      <w:marRight w:val="0"/>
      <w:marTop w:val="0"/>
      <w:marBottom w:val="0"/>
      <w:divBdr>
        <w:top w:val="none" w:sz="0" w:space="0" w:color="auto"/>
        <w:left w:val="none" w:sz="0" w:space="0" w:color="auto"/>
        <w:bottom w:val="none" w:sz="0" w:space="0" w:color="auto"/>
        <w:right w:val="none" w:sz="0" w:space="0" w:color="auto"/>
      </w:divBdr>
    </w:div>
    <w:div w:id="891425986">
      <w:bodyDiv w:val="1"/>
      <w:marLeft w:val="0"/>
      <w:marRight w:val="0"/>
      <w:marTop w:val="0"/>
      <w:marBottom w:val="0"/>
      <w:divBdr>
        <w:top w:val="none" w:sz="0" w:space="0" w:color="auto"/>
        <w:left w:val="none" w:sz="0" w:space="0" w:color="auto"/>
        <w:bottom w:val="none" w:sz="0" w:space="0" w:color="auto"/>
        <w:right w:val="none" w:sz="0" w:space="0" w:color="auto"/>
      </w:divBdr>
    </w:div>
    <w:div w:id="1950578977">
      <w:bodyDiv w:val="1"/>
      <w:marLeft w:val="0"/>
      <w:marRight w:val="0"/>
      <w:marTop w:val="0"/>
      <w:marBottom w:val="0"/>
      <w:divBdr>
        <w:top w:val="none" w:sz="0" w:space="0" w:color="auto"/>
        <w:left w:val="none" w:sz="0" w:space="0" w:color="auto"/>
        <w:bottom w:val="none" w:sz="0" w:space="0" w:color="auto"/>
        <w:right w:val="none" w:sz="0" w:space="0" w:color="auto"/>
      </w:divBdr>
      <w:divsChild>
        <w:div w:id="1384479969">
          <w:marLeft w:val="0"/>
          <w:marRight w:val="0"/>
          <w:marTop w:val="0"/>
          <w:marBottom w:val="360"/>
          <w:divBdr>
            <w:top w:val="none" w:sz="0" w:space="0" w:color="auto"/>
            <w:left w:val="none" w:sz="0" w:space="0" w:color="auto"/>
            <w:bottom w:val="none" w:sz="0" w:space="0" w:color="auto"/>
            <w:right w:val="none" w:sz="0" w:space="0" w:color="auto"/>
          </w:divBdr>
        </w:div>
      </w:divsChild>
    </w:div>
    <w:div w:id="199348112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webSettings" Target="webSettings.xml"/><Relationship Id="rId21" Type="http://schemas.openxmlformats.org/officeDocument/2006/relationships/image" Target="media/image14.png"/><Relationship Id="rId7" Type="http://schemas.openxmlformats.org/officeDocument/2006/relationships/hyperlink" Target="http://www.ICES.dk"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settings" Target="setting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eader" Target="header1.xml"/><Relationship Id="rId1" Type="http://schemas.openxmlformats.org/officeDocument/2006/relationships/styles" Target="styles.xml"/><Relationship Id="rId6" Type="http://schemas.openxmlformats.org/officeDocument/2006/relationships/hyperlink" Target="http://www.nammco.no" TargetMode="External"/><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s://doi.org/10.17895/ices.pub.7695"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nammco.no/humpback-whale/#1475844082849-433d5060-e5a9" TargetMode="External"/><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4103</TotalTime>
  <Pages>13</Pages>
  <Words>2316</Words>
  <Characters>13206</Characters>
  <Application>Microsoft Office Word</Application>
  <DocSecurity>0</DocSecurity>
  <Lines>110</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henrik</dc:creator>
  <dc:description/>
  <cp:lastModifiedBy>henrik sparholt</cp:lastModifiedBy>
  <cp:revision>16</cp:revision>
  <dcterms:created xsi:type="dcterms:W3CDTF">2023-04-30T10:10:00Z</dcterms:created>
  <dcterms:modified xsi:type="dcterms:W3CDTF">2023-05-03T07:35:00Z</dcterms:modified>
  <dc:language>en-GB</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